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3AAF" w14:textId="1C672FC6" w:rsidR="00000000" w:rsidRDefault="00F025B0" w:rsidP="0092173C">
      <w:pPr>
        <w:pStyle w:val="Overskrift1"/>
        <w:rPr>
          <w:rFonts w:ascii="Bebas Neue" w:hAnsi="Bebas Neue"/>
          <w:color w:val="000000" w:themeColor="text1"/>
          <w:sz w:val="44"/>
          <w:szCs w:val="44"/>
        </w:rPr>
      </w:pPr>
      <w:r>
        <w:rPr>
          <w:rFonts w:ascii="Bebas Neue" w:hAnsi="Bebas Neue"/>
          <w:color w:val="000000" w:themeColor="text1"/>
          <w:sz w:val="44"/>
          <w:szCs w:val="44"/>
        </w:rPr>
        <w:t>Sexologi</w:t>
      </w:r>
      <w:r w:rsidR="005242DE">
        <w:rPr>
          <w:rFonts w:ascii="Bebas Neue" w:hAnsi="Bebas Neue"/>
          <w:color w:val="000000" w:themeColor="text1"/>
          <w:sz w:val="44"/>
          <w:szCs w:val="44"/>
        </w:rPr>
        <w:t>,</w:t>
      </w:r>
      <w:r>
        <w:rPr>
          <w:rFonts w:ascii="Bebas Neue" w:hAnsi="Bebas Neue"/>
          <w:color w:val="000000" w:themeColor="text1"/>
          <w:sz w:val="44"/>
          <w:szCs w:val="44"/>
        </w:rPr>
        <w:t xml:space="preserve"> Samtykke</w:t>
      </w:r>
    </w:p>
    <w:p w14:paraId="7513CD84" w14:textId="13C02AD4" w:rsidR="005242DE" w:rsidRDefault="005242DE" w:rsidP="005242DE"/>
    <w:p w14:paraId="5F2488B0" w14:textId="73AB5263" w:rsidR="005242DE" w:rsidRPr="005242DE" w:rsidRDefault="005242DE" w:rsidP="005242DE">
      <w:pPr>
        <w:rPr>
          <w:rFonts w:ascii="Georgia" w:hAnsi="Georgia"/>
          <w:i/>
        </w:rPr>
      </w:pPr>
      <w:r w:rsidRPr="005242DE">
        <w:rPr>
          <w:rFonts w:ascii="Georgia" w:hAnsi="Georgia"/>
          <w:i/>
        </w:rPr>
        <w:t>Sex og samfund har lavet et spørgeskema blandt 16-</w:t>
      </w:r>
      <w:proofErr w:type="gramStart"/>
      <w:r w:rsidRPr="005242DE">
        <w:rPr>
          <w:rFonts w:ascii="Georgia" w:hAnsi="Georgia"/>
          <w:i/>
        </w:rPr>
        <w:t>29 årige</w:t>
      </w:r>
      <w:proofErr w:type="gramEnd"/>
      <w:r w:rsidRPr="005242DE">
        <w:rPr>
          <w:rFonts w:ascii="Georgia" w:hAnsi="Georgia"/>
          <w:i/>
        </w:rPr>
        <w:t xml:space="preserve"> (januar</w:t>
      </w:r>
      <w:r w:rsidR="00CA591C">
        <w:rPr>
          <w:rFonts w:ascii="Georgia" w:hAnsi="Georgia"/>
          <w:i/>
        </w:rPr>
        <w:t xml:space="preserve"> 20</w:t>
      </w:r>
      <w:r w:rsidRPr="005242DE">
        <w:rPr>
          <w:rFonts w:ascii="Georgia" w:hAnsi="Georgia"/>
          <w:i/>
        </w:rPr>
        <w:t>22)</w:t>
      </w:r>
    </w:p>
    <w:p w14:paraId="3DA841CA" w14:textId="77777777" w:rsidR="005242DE" w:rsidRPr="005242DE" w:rsidRDefault="005242DE" w:rsidP="005242DE">
      <w:pPr>
        <w:rPr>
          <w:rFonts w:ascii="Georgia" w:hAnsi="Georgia"/>
          <w:i/>
        </w:rPr>
      </w:pPr>
    </w:p>
    <w:p w14:paraId="3F63B403" w14:textId="72BC5225" w:rsidR="005242DE" w:rsidRPr="005242DE" w:rsidRDefault="005242DE" w:rsidP="005242DE">
      <w:pPr>
        <w:rPr>
          <w:rFonts w:ascii="Georgia" w:hAnsi="Georgia"/>
          <w:i/>
        </w:rPr>
      </w:pPr>
      <w:r w:rsidRPr="005242DE">
        <w:rPr>
          <w:rFonts w:ascii="Georgia" w:hAnsi="Georgia"/>
          <w:i/>
        </w:rPr>
        <w:t xml:space="preserve">Data viser at </w:t>
      </w:r>
    </w:p>
    <w:p w14:paraId="179CB064" w14:textId="02B3E6B2" w:rsidR="005242DE" w:rsidRPr="005242DE" w:rsidRDefault="005242DE" w:rsidP="005242DE">
      <w:pPr>
        <w:pStyle w:val="Listeafsnit"/>
        <w:numPr>
          <w:ilvl w:val="0"/>
          <w:numId w:val="3"/>
        </w:numPr>
        <w:rPr>
          <w:rFonts w:ascii="Georgia" w:hAnsi="Georgia"/>
          <w:i/>
        </w:rPr>
      </w:pPr>
      <w:r w:rsidRPr="005242DE">
        <w:rPr>
          <w:rFonts w:ascii="Georgia" w:hAnsi="Georgia"/>
          <w:i/>
        </w:rPr>
        <w:t>Hver fjerde af de unge svarer, at de er i tvivl om de har overskredet deres sexpartners grænser</w:t>
      </w:r>
    </w:p>
    <w:p w14:paraId="7127A7BE" w14:textId="77777777" w:rsidR="005242DE" w:rsidRPr="005242DE" w:rsidRDefault="005242DE" w:rsidP="005242DE">
      <w:pPr>
        <w:pStyle w:val="Listeafsnit"/>
        <w:numPr>
          <w:ilvl w:val="0"/>
          <w:numId w:val="3"/>
        </w:numPr>
        <w:rPr>
          <w:rFonts w:ascii="Georgia" w:hAnsi="Georgia"/>
          <w:i/>
        </w:rPr>
      </w:pPr>
      <w:r w:rsidRPr="005242DE">
        <w:rPr>
          <w:rFonts w:ascii="Georgia" w:hAnsi="Georgia"/>
          <w:i/>
        </w:rPr>
        <w:t xml:space="preserve">Mere end hver 8. har været usikker på hvorvidt deres </w:t>
      </w:r>
      <w:proofErr w:type="gramStart"/>
      <w:r w:rsidRPr="005242DE">
        <w:rPr>
          <w:rFonts w:ascii="Georgia" w:hAnsi="Georgia"/>
          <w:i/>
        </w:rPr>
        <w:t>sex partner</w:t>
      </w:r>
      <w:proofErr w:type="gramEnd"/>
      <w:r w:rsidRPr="005242DE">
        <w:rPr>
          <w:rFonts w:ascii="Georgia" w:hAnsi="Georgia"/>
          <w:i/>
        </w:rPr>
        <w:t xml:space="preserve"> har givet samtykke til sex</w:t>
      </w:r>
    </w:p>
    <w:p w14:paraId="195B25CD" w14:textId="4AA5DC28" w:rsidR="005242DE" w:rsidRPr="005242DE" w:rsidRDefault="005242DE" w:rsidP="005242DE">
      <w:pPr>
        <w:pStyle w:val="Listeafsnit"/>
        <w:numPr>
          <w:ilvl w:val="0"/>
          <w:numId w:val="3"/>
        </w:numPr>
        <w:rPr>
          <w:rFonts w:ascii="Georgia" w:hAnsi="Georgia"/>
          <w:i/>
        </w:rPr>
      </w:pPr>
      <w:r w:rsidRPr="005242DE">
        <w:rPr>
          <w:rFonts w:ascii="Georgia" w:hAnsi="Georgia"/>
          <w:i/>
        </w:rPr>
        <w:t xml:space="preserve">Ca. hver anden har givet samtykke til noget </w:t>
      </w:r>
      <w:proofErr w:type="spellStart"/>
      <w:r w:rsidRPr="005242DE">
        <w:rPr>
          <w:rFonts w:ascii="Georgia" w:hAnsi="Georgia"/>
          <w:i/>
        </w:rPr>
        <w:t>sexuelt</w:t>
      </w:r>
      <w:proofErr w:type="spellEnd"/>
      <w:r w:rsidRPr="005242DE">
        <w:rPr>
          <w:rFonts w:ascii="Georgia" w:hAnsi="Georgia"/>
          <w:i/>
        </w:rPr>
        <w:t xml:space="preserve">, selv om de ikke havde lyst, fx har de haft sex oftere end de havde lyst til </w:t>
      </w:r>
    </w:p>
    <w:p w14:paraId="7E77BF23" w14:textId="77777777" w:rsidR="005242DE" w:rsidRPr="005242DE" w:rsidRDefault="005242DE" w:rsidP="005242DE">
      <w:pPr>
        <w:rPr>
          <w:rFonts w:ascii="Georgia" w:hAnsi="Georgia"/>
          <w:i/>
        </w:rPr>
      </w:pPr>
    </w:p>
    <w:p w14:paraId="6B793406" w14:textId="3DA06D50" w:rsidR="005242DE" w:rsidRPr="005242DE" w:rsidRDefault="005242DE" w:rsidP="005242DE">
      <w:pPr>
        <w:rPr>
          <w:rFonts w:ascii="Georgia" w:hAnsi="Georgia"/>
          <w:i/>
        </w:rPr>
      </w:pPr>
      <w:proofErr w:type="gramStart"/>
      <w:r w:rsidRPr="005242DE">
        <w:rPr>
          <w:rFonts w:ascii="Georgia" w:hAnsi="Georgia"/>
          <w:i/>
        </w:rPr>
        <w:t>Endvidere</w:t>
      </w:r>
      <w:proofErr w:type="gramEnd"/>
      <w:r w:rsidRPr="005242DE">
        <w:rPr>
          <w:rFonts w:ascii="Georgia" w:hAnsi="Georgia"/>
          <w:i/>
        </w:rPr>
        <w:t xml:space="preserve">: </w:t>
      </w:r>
    </w:p>
    <w:p w14:paraId="7AE27157" w14:textId="023B5F45" w:rsidR="005242DE" w:rsidRPr="005242DE" w:rsidRDefault="005242DE" w:rsidP="005242DE">
      <w:pPr>
        <w:pStyle w:val="Listeafsnit"/>
        <w:numPr>
          <w:ilvl w:val="0"/>
          <w:numId w:val="4"/>
        </w:numPr>
        <w:rPr>
          <w:rFonts w:ascii="Georgia" w:hAnsi="Georgia"/>
          <w:i/>
        </w:rPr>
      </w:pPr>
      <w:r w:rsidRPr="005242DE">
        <w:rPr>
          <w:rFonts w:ascii="Georgia" w:hAnsi="Georgia"/>
          <w:i/>
        </w:rPr>
        <w:t>Hver anden unge mand mener at voldtægtsbeskyldninger ofte bruges som ”hævn” mod mænd</w:t>
      </w:r>
    </w:p>
    <w:p w14:paraId="5C231DB3" w14:textId="5643CD95" w:rsidR="005242DE" w:rsidRPr="005242DE" w:rsidRDefault="005242DE" w:rsidP="005242DE">
      <w:pPr>
        <w:pStyle w:val="Listeafsnit"/>
        <w:numPr>
          <w:ilvl w:val="0"/>
          <w:numId w:val="4"/>
        </w:numPr>
        <w:rPr>
          <w:rFonts w:ascii="Georgia" w:hAnsi="Georgia"/>
          <w:i/>
        </w:rPr>
      </w:pPr>
      <w:r w:rsidRPr="005242DE">
        <w:rPr>
          <w:rFonts w:ascii="Georgia" w:hAnsi="Georgia"/>
          <w:i/>
        </w:rPr>
        <w:t xml:space="preserve">Hver 5. unge mand mente, at hvis en mand er fuld, kan det hænde at han voldtager nogen, uden at have intension om dette </w:t>
      </w:r>
    </w:p>
    <w:p w14:paraId="50173701" w14:textId="77777777" w:rsidR="005242DE" w:rsidRPr="005242DE" w:rsidRDefault="005242DE" w:rsidP="005242DE">
      <w:pPr>
        <w:rPr>
          <w:rFonts w:ascii="Georgia" w:hAnsi="Georgia"/>
          <w:i/>
        </w:rPr>
      </w:pPr>
    </w:p>
    <w:p w14:paraId="4E37D3D1" w14:textId="5889D4E4" w:rsidR="005242DE" w:rsidRPr="005242DE" w:rsidRDefault="005242DE" w:rsidP="005242DE">
      <w:pPr>
        <w:rPr>
          <w:rFonts w:ascii="Georgia" w:hAnsi="Georgia"/>
        </w:rPr>
      </w:pPr>
      <w:r w:rsidRPr="005242DE">
        <w:rPr>
          <w:rFonts w:ascii="Georgia" w:hAnsi="Georgia"/>
          <w:i/>
        </w:rPr>
        <w:t xml:space="preserve">Der er altså brug for at vi snakker om samtykke, hvordan det opfattes og hvordan man giver en afvisning på en måde så det ikke misforstås </w:t>
      </w:r>
    </w:p>
    <w:p w14:paraId="173ECEDA" w14:textId="5F923498" w:rsidR="005242DE" w:rsidRDefault="005242DE" w:rsidP="005242DE"/>
    <w:p w14:paraId="67711AC5" w14:textId="77777777" w:rsidR="0092173C" w:rsidRPr="005242DE" w:rsidRDefault="00F025B0" w:rsidP="005242DE">
      <w:pPr>
        <w:pStyle w:val="Overskrift2"/>
        <w:spacing w:before="0"/>
        <w:rPr>
          <w:rFonts w:ascii="Georgia" w:hAnsi="Georgia"/>
          <w:color w:val="000000" w:themeColor="text1"/>
          <w:sz w:val="28"/>
          <w:szCs w:val="28"/>
        </w:rPr>
      </w:pPr>
      <w:r w:rsidRPr="005242DE">
        <w:rPr>
          <w:rFonts w:ascii="Georgia" w:hAnsi="Georgia"/>
          <w:color w:val="000000" w:themeColor="text1"/>
          <w:sz w:val="28"/>
          <w:szCs w:val="28"/>
        </w:rPr>
        <w:t xml:space="preserve">Gruppearbejde </w:t>
      </w:r>
    </w:p>
    <w:p w14:paraId="791CF78A" w14:textId="77777777" w:rsidR="0092173C" w:rsidRDefault="0092173C" w:rsidP="005242DE"/>
    <w:p w14:paraId="675172A0" w14:textId="77777777" w:rsidR="00F025B0" w:rsidRPr="00F025B0" w:rsidRDefault="00F025B0" w:rsidP="005242DE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Georgia" w:hAnsi="Georgia"/>
        </w:rPr>
      </w:pPr>
      <w:r w:rsidRPr="00F025B0">
        <w:rPr>
          <w:rFonts w:ascii="Georgia" w:hAnsi="Georgia"/>
          <w:b/>
          <w:noProof/>
        </w:rPr>
        <w:drawing>
          <wp:anchor distT="0" distB="0" distL="114300" distR="114300" simplePos="0" relativeHeight="251659264" behindDoc="1" locked="0" layoutInCell="1" allowOverlap="1" wp14:anchorId="4B2EE994" wp14:editId="61C3C03C">
            <wp:simplePos x="0" y="0"/>
            <wp:positionH relativeFrom="column">
              <wp:posOffset>4131800</wp:posOffset>
            </wp:positionH>
            <wp:positionV relativeFrom="paragraph">
              <wp:posOffset>267718</wp:posOffset>
            </wp:positionV>
            <wp:extent cx="2542540" cy="1858010"/>
            <wp:effectExtent l="0" t="0" r="0" b="8890"/>
            <wp:wrapTight wrapText="bothSides">
              <wp:wrapPolygon edited="0">
                <wp:start x="0" y="0"/>
                <wp:lineTo x="0" y="21482"/>
                <wp:lineTo x="21363" y="21482"/>
                <wp:lineTo x="21363" y="0"/>
                <wp:lineTo x="0" y="0"/>
              </wp:wrapPolygon>
            </wp:wrapTight>
            <wp:docPr id="2" name="Billede 2" descr="Seksuelle handlinger uden samtykke skal straffes efter voldtægtsparagraffen. Det mener Socialdemokraterne, SF og De Radikale, der ønsker at ændre lovgivningen. Men hvad er egentlig et samtykke, og hvordan skal man i praksis sikre sig, at ens partner har lyst til sex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suelle handlinger uden samtykke skal straffes efter voldtægtsparagraffen. Det mener Socialdemokraterne, SF og De Radikale, der ønsker at ændre lovgivningen. Men hvad er egentlig et samtykke, og hvordan skal man i praksis sikre sig, at ens partner har lyst til sex?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5B0">
        <w:rPr>
          <w:rFonts w:ascii="Georgia" w:hAnsi="Georgia" w:cs="Arial"/>
          <w:color w:val="000000"/>
          <w:sz w:val="22"/>
          <w:szCs w:val="22"/>
        </w:rPr>
        <w:t>Bliv enige om en definition af samtykke</w:t>
      </w:r>
    </w:p>
    <w:p w14:paraId="3AA749F4" w14:textId="77777777" w:rsidR="00F025B0" w:rsidRPr="00F025B0" w:rsidRDefault="00F025B0" w:rsidP="005242DE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Georgia" w:hAnsi="Georgia"/>
        </w:rPr>
      </w:pPr>
      <w:r w:rsidRPr="00F025B0">
        <w:rPr>
          <w:rFonts w:ascii="Georgia" w:hAnsi="Georgia" w:cs="Arial"/>
          <w:color w:val="000000"/>
          <w:sz w:val="22"/>
          <w:szCs w:val="22"/>
        </w:rPr>
        <w:t>Giv et bud på hvordan man skal få den andens samtykke? Hvad skal man sige hvis man gerne vil have sex? </w:t>
      </w:r>
    </w:p>
    <w:p w14:paraId="3ECCE9B6" w14:textId="77777777" w:rsidR="00F025B0" w:rsidRPr="00F025B0" w:rsidRDefault="00F025B0" w:rsidP="005242DE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Georgia" w:hAnsi="Georgia"/>
        </w:rPr>
      </w:pPr>
      <w:r w:rsidRPr="00F025B0">
        <w:rPr>
          <w:rFonts w:ascii="Georgia" w:hAnsi="Georgia" w:cs="Arial"/>
          <w:color w:val="000000"/>
          <w:sz w:val="22"/>
          <w:szCs w:val="22"/>
        </w:rPr>
        <w:t>Kan sex gradbøjes? Er håndsex anderledes end penetration? Hvad nu hvis vi forstår sex forskelligt?</w:t>
      </w:r>
    </w:p>
    <w:p w14:paraId="562EBD50" w14:textId="77777777" w:rsidR="00F025B0" w:rsidRPr="00F025B0" w:rsidRDefault="00F025B0" w:rsidP="005242DE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Georgia" w:hAnsi="Georgia" w:cs="Arial"/>
          <w:color w:val="000000"/>
          <w:sz w:val="22"/>
          <w:szCs w:val="22"/>
        </w:rPr>
      </w:pPr>
      <w:r w:rsidRPr="00F025B0">
        <w:rPr>
          <w:rFonts w:ascii="Georgia" w:hAnsi="Georgia" w:cs="Arial"/>
          <w:color w:val="000000"/>
          <w:sz w:val="22"/>
          <w:szCs w:val="22"/>
        </w:rPr>
        <w:t xml:space="preserve">Hvad skal man sige hvis man ikke vil have sex? – og vil sige det pænt! Lav en sætning som er en pæn afvisning. </w:t>
      </w:r>
    </w:p>
    <w:p w14:paraId="5A2189DE" w14:textId="77777777" w:rsidR="00F025B0" w:rsidRDefault="00F025B0" w:rsidP="005242DE">
      <w:pPr>
        <w:pStyle w:val="NormalWeb"/>
        <w:numPr>
          <w:ilvl w:val="0"/>
          <w:numId w:val="1"/>
        </w:numPr>
        <w:spacing w:before="0" w:beforeAutospacing="0" w:after="240" w:afterAutospacing="0"/>
        <w:rPr>
          <w:rFonts w:ascii="Georgia" w:hAnsi="Georgia" w:cs="Arial"/>
          <w:color w:val="000000"/>
          <w:sz w:val="22"/>
          <w:szCs w:val="22"/>
        </w:rPr>
      </w:pPr>
      <w:r w:rsidRPr="00F025B0">
        <w:rPr>
          <w:rFonts w:ascii="Georgia" w:hAnsi="Georgia" w:cs="Arial"/>
          <w:color w:val="000000"/>
          <w:sz w:val="22"/>
          <w:szCs w:val="22"/>
        </w:rPr>
        <w:t>Gå en tur i klassen og prøv din sætning af på dine kammerater</w:t>
      </w:r>
    </w:p>
    <w:p w14:paraId="107D87B5" w14:textId="6A659E37" w:rsidR="00F025B0" w:rsidRPr="005242DE" w:rsidRDefault="00F025B0" w:rsidP="00F025B0">
      <w:pPr>
        <w:pStyle w:val="NormalWeb"/>
        <w:spacing w:before="240" w:beforeAutospacing="0" w:after="240" w:afterAutospacing="0"/>
        <w:rPr>
          <w:rFonts w:ascii="Georgia" w:hAnsi="Georgia" w:cs="Arial"/>
          <w:color w:val="000000"/>
          <w:sz w:val="28"/>
          <w:szCs w:val="28"/>
        </w:rPr>
      </w:pPr>
      <w:r w:rsidRPr="005242DE">
        <w:rPr>
          <w:rFonts w:ascii="Georgia" w:hAnsi="Georgia" w:cs="Arial"/>
          <w:color w:val="000000"/>
          <w:sz w:val="28"/>
          <w:szCs w:val="28"/>
        </w:rPr>
        <w:t>P</w:t>
      </w:r>
      <w:r w:rsidR="005242DE" w:rsidRPr="005242DE">
        <w:rPr>
          <w:rFonts w:ascii="Georgia" w:hAnsi="Georgia" w:cs="Arial"/>
          <w:color w:val="000000"/>
          <w:sz w:val="28"/>
          <w:szCs w:val="28"/>
        </w:rPr>
        <w:t>lenum</w:t>
      </w:r>
      <w:r w:rsidRPr="005242DE">
        <w:rPr>
          <w:rFonts w:ascii="Georgia" w:hAnsi="Georgia" w:cs="Arial"/>
          <w:color w:val="000000"/>
          <w:sz w:val="28"/>
          <w:szCs w:val="28"/>
        </w:rPr>
        <w:t xml:space="preserve">: </w:t>
      </w:r>
    </w:p>
    <w:p w14:paraId="3ACBDE15" w14:textId="77777777" w:rsidR="00F025B0" w:rsidRPr="00F025B0" w:rsidRDefault="00F025B0" w:rsidP="00F025B0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Georgia" w:hAnsi="Georgia" w:cs="Arial"/>
          <w:color w:val="000000"/>
          <w:sz w:val="22"/>
          <w:szCs w:val="22"/>
        </w:rPr>
      </w:pPr>
      <w:r w:rsidRPr="00F025B0">
        <w:rPr>
          <w:rFonts w:ascii="Georgia" w:hAnsi="Georgia" w:cs="Arial"/>
          <w:color w:val="000000"/>
          <w:sz w:val="22"/>
          <w:szCs w:val="22"/>
        </w:rPr>
        <w:t xml:space="preserve">Hvordan var det at give afvisningen? </w:t>
      </w:r>
    </w:p>
    <w:p w14:paraId="3A138F5D" w14:textId="77777777" w:rsidR="00F025B0" w:rsidRPr="00F025B0" w:rsidRDefault="00F025B0" w:rsidP="00F025B0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Georgia" w:hAnsi="Georgia" w:cs="Arial"/>
          <w:color w:val="000000"/>
          <w:sz w:val="22"/>
          <w:szCs w:val="22"/>
        </w:rPr>
      </w:pPr>
      <w:r w:rsidRPr="00F025B0">
        <w:rPr>
          <w:rFonts w:ascii="Georgia" w:hAnsi="Georgia" w:cs="Arial"/>
          <w:color w:val="000000"/>
          <w:sz w:val="22"/>
          <w:szCs w:val="22"/>
        </w:rPr>
        <w:t xml:space="preserve">Hvordan var det at blive afvist? </w:t>
      </w:r>
    </w:p>
    <w:p w14:paraId="29CF0A59" w14:textId="43967A36" w:rsidR="00F025B0" w:rsidRPr="005242DE" w:rsidRDefault="00F025B0" w:rsidP="003868E5">
      <w:pPr>
        <w:pStyle w:val="NormalWeb"/>
        <w:numPr>
          <w:ilvl w:val="0"/>
          <w:numId w:val="2"/>
        </w:numPr>
        <w:spacing w:before="240" w:beforeAutospacing="0" w:after="240" w:afterAutospacing="0"/>
        <w:rPr>
          <w:rFonts w:ascii="Georgia" w:hAnsi="Georgia"/>
        </w:rPr>
      </w:pPr>
      <w:r w:rsidRPr="005242DE">
        <w:rPr>
          <w:rFonts w:ascii="Georgia" w:hAnsi="Georgia" w:cs="Arial"/>
          <w:color w:val="000000"/>
          <w:sz w:val="22"/>
          <w:szCs w:val="22"/>
        </w:rPr>
        <w:t xml:space="preserve">Hvordan giver vi og modtager afvisningen, så det bliver mindst akavet. </w:t>
      </w:r>
    </w:p>
    <w:sectPr w:rsidR="00F025B0" w:rsidRPr="005242DE" w:rsidSect="0092173C">
      <w:footerReference w:type="even" r:id="rId11"/>
      <w:footerReference w:type="default" r:id="rId12"/>
      <w:pgSz w:w="11906" w:h="16838"/>
      <w:pgMar w:top="1701" w:right="1134" w:bottom="1888" w:left="1134" w:header="708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46E1" w14:textId="77777777" w:rsidR="00043058" w:rsidRDefault="00043058" w:rsidP="0092173C">
      <w:r>
        <w:separator/>
      </w:r>
    </w:p>
  </w:endnote>
  <w:endnote w:type="continuationSeparator" w:id="0">
    <w:p w14:paraId="19F81573" w14:textId="77777777" w:rsidR="00043058" w:rsidRDefault="00043058" w:rsidP="00921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"/>
      </w:rPr>
      <w:id w:val="-826748655"/>
      <w:docPartObj>
        <w:docPartGallery w:val="Page Numbers (Bottom of Page)"/>
        <w:docPartUnique/>
      </w:docPartObj>
    </w:sdtPr>
    <w:sdtContent>
      <w:p w14:paraId="2E01E8EB" w14:textId="77777777" w:rsidR="0092173C" w:rsidRDefault="0092173C" w:rsidP="00935D71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14:paraId="1A514F06" w14:textId="77777777" w:rsidR="0092173C" w:rsidRDefault="0092173C" w:rsidP="0092173C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3525" w14:textId="77777777" w:rsidR="0092173C" w:rsidRDefault="0092173C" w:rsidP="0092173C">
    <w:pPr>
      <w:pStyle w:val="Sidefod"/>
      <w:ind w:left="4819" w:right="360" w:hanging="4819"/>
      <w:jc w:val="center"/>
    </w:pPr>
    <w:r>
      <w:rPr>
        <w:noProof/>
        <w:lang w:eastAsia="da-DK"/>
      </w:rPr>
      <w:drawing>
        <wp:inline distT="0" distB="0" distL="0" distR="0" wp14:anchorId="5A8FA8B8" wp14:editId="54488983">
          <wp:extent cx="2264735" cy="349147"/>
          <wp:effectExtent l="0" t="0" r="0" b="0"/>
          <wp:docPr id="1" name="Billede 1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8279" cy="366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4DD4" w14:textId="77777777" w:rsidR="00043058" w:rsidRDefault="00043058" w:rsidP="0092173C">
      <w:r>
        <w:separator/>
      </w:r>
    </w:p>
  </w:footnote>
  <w:footnote w:type="continuationSeparator" w:id="0">
    <w:p w14:paraId="32A0422B" w14:textId="77777777" w:rsidR="00043058" w:rsidRDefault="00043058" w:rsidP="00921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6C1B"/>
    <w:multiLevelType w:val="hybridMultilevel"/>
    <w:tmpl w:val="45BE1B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B09BD"/>
    <w:multiLevelType w:val="hybridMultilevel"/>
    <w:tmpl w:val="7AE2C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D6A36"/>
    <w:multiLevelType w:val="hybridMultilevel"/>
    <w:tmpl w:val="F2C2C1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B71C5"/>
    <w:multiLevelType w:val="hybridMultilevel"/>
    <w:tmpl w:val="A21225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827976">
    <w:abstractNumId w:val="2"/>
  </w:num>
  <w:num w:numId="2" w16cid:durableId="1889605125">
    <w:abstractNumId w:val="1"/>
  </w:num>
  <w:num w:numId="3" w16cid:durableId="839462716">
    <w:abstractNumId w:val="3"/>
  </w:num>
  <w:num w:numId="4" w16cid:durableId="316148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B0"/>
    <w:rsid w:val="00043058"/>
    <w:rsid w:val="00123061"/>
    <w:rsid w:val="00202246"/>
    <w:rsid w:val="003677FD"/>
    <w:rsid w:val="003F14F6"/>
    <w:rsid w:val="005242DE"/>
    <w:rsid w:val="00702BF7"/>
    <w:rsid w:val="00916A41"/>
    <w:rsid w:val="0092173C"/>
    <w:rsid w:val="00BB2C4F"/>
    <w:rsid w:val="00C113FF"/>
    <w:rsid w:val="00C23BD3"/>
    <w:rsid w:val="00CA591C"/>
    <w:rsid w:val="00CC0879"/>
    <w:rsid w:val="00F0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55AE2"/>
  <w15:chartTrackingRefBased/>
  <w15:docId w15:val="{D0B9193E-773D-4133-AEEA-F6BA38067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1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217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173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173C"/>
  </w:style>
  <w:style w:type="paragraph" w:styleId="Sidefod">
    <w:name w:val="footer"/>
    <w:basedOn w:val="Normal"/>
    <w:link w:val="SidefodTegn"/>
    <w:uiPriority w:val="99"/>
    <w:unhideWhenUsed/>
    <w:rsid w:val="0092173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173C"/>
  </w:style>
  <w:style w:type="character" w:styleId="Sidetal">
    <w:name w:val="page number"/>
    <w:basedOn w:val="Standardskrifttypeiafsnit"/>
    <w:uiPriority w:val="99"/>
    <w:semiHidden/>
    <w:unhideWhenUsed/>
    <w:rsid w:val="0092173C"/>
  </w:style>
  <w:style w:type="character" w:customStyle="1" w:styleId="Overskrift1Tegn">
    <w:name w:val="Overskrift 1 Tegn"/>
    <w:basedOn w:val="Standardskrifttypeiafsnit"/>
    <w:link w:val="Overskrift1"/>
    <w:uiPriority w:val="9"/>
    <w:rsid w:val="00921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217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025B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paragraph" w:styleId="Listeafsnit">
    <w:name w:val="List Paragraph"/>
    <w:basedOn w:val="Normal"/>
    <w:uiPriority w:val="34"/>
    <w:qFormat/>
    <w:rsid w:val="0052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GY-cami6199\OneDrive%20-%20IT%20Center%20Fyn\VILLUM\materiale\MSskabelo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2471616440D4EAC3EA07D11F14A32" ma:contentTypeVersion="13" ma:contentTypeDescription="Create a new document." ma:contentTypeScope="" ma:versionID="14d89d70f7f8068fe26d4985197e551b">
  <xsd:schema xmlns:xsd="http://www.w3.org/2001/XMLSchema" xmlns:xs="http://www.w3.org/2001/XMLSchema" xmlns:p="http://schemas.microsoft.com/office/2006/metadata/properties" xmlns:ns3="9c912501-4af9-41ae-adba-165fa9c22141" xmlns:ns4="40ec6805-da36-49a2-be2e-ef86baf79630" targetNamespace="http://schemas.microsoft.com/office/2006/metadata/properties" ma:root="true" ma:fieldsID="386e4e3e187c566424497c82d2ef8a93" ns3:_="" ns4:_="">
    <xsd:import namespace="9c912501-4af9-41ae-adba-165fa9c22141"/>
    <xsd:import namespace="40ec6805-da36-49a2-be2e-ef86baf796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12501-4af9-41ae-adba-165fa9c22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c6805-da36-49a2-be2e-ef86baf79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E63006-52FE-40DC-A0C9-D52FC12818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533A4-4CAA-4001-848A-FC645EB4D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912501-4af9-41ae-adba-165fa9c22141"/>
    <ds:schemaRef ds:uri="40ec6805-da36-49a2-be2e-ef86baf796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85250B-D22E-46B0-BE49-06D3F907AB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MSskabelon</Template>
  <TotalTime>1</TotalTime>
  <Pages>1</Pages>
  <Words>193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Christensen</dc:creator>
  <cp:keywords/>
  <dc:description/>
  <cp:lastModifiedBy>Taia Varberg</cp:lastModifiedBy>
  <cp:revision>2</cp:revision>
  <dcterms:created xsi:type="dcterms:W3CDTF">2024-11-04T10:06:00Z</dcterms:created>
  <dcterms:modified xsi:type="dcterms:W3CDTF">2024-11-04T10:06:00Z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0x0101002572471616440D4EAC3EA07D11F14A32</vt:lpwstr>
  </property>
</Properties>
</file>