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DC2A6" w14:textId="77777777" w:rsidR="006454D0" w:rsidRPr="003A1B55" w:rsidRDefault="003A1B55" w:rsidP="006454D0">
      <w:pPr>
        <w:spacing w:before="240"/>
        <w:rPr>
          <w:rStyle w:val="Hyperlink"/>
          <w:rFonts w:eastAsia="Times New Roman" w:cs="Times New Roman"/>
          <w:color w:val="auto"/>
          <w:u w:val="none"/>
          <w:lang w:eastAsia="da-DK"/>
        </w:rPr>
      </w:pPr>
      <w:r w:rsidRPr="003A1B55">
        <w:rPr>
          <w:rFonts w:eastAsiaTheme="minorEastAsia"/>
          <w:b/>
        </w:rPr>
        <w:t xml:space="preserve">Tværvektor: </w:t>
      </w:r>
      <w:r w:rsidR="006454D0" w:rsidRPr="003A1B55">
        <w:rPr>
          <w:rFonts w:eastAsiaTheme="minorEastAsia"/>
        </w:rPr>
        <w:t>Her er en lille film, der definerer begrebet</w:t>
      </w:r>
      <w:r w:rsidR="007A4EC5" w:rsidRPr="003A1B55">
        <w:rPr>
          <w:rFonts w:eastAsiaTheme="minorEastAsia"/>
        </w:rPr>
        <w:t xml:space="preserve"> tværvektor</w:t>
      </w:r>
      <w:r w:rsidRPr="003A1B55">
        <w:rPr>
          <w:rFonts w:eastAsiaTheme="minorEastAsia"/>
        </w:rPr>
        <w:t xml:space="preserve"> igen.</w:t>
      </w:r>
      <w:r w:rsidR="006454D0" w:rsidRPr="003A1B55">
        <w:rPr>
          <w:rFonts w:eastAsiaTheme="minorEastAsia"/>
        </w:rPr>
        <w:t xml:space="preserve"> (</w:t>
      </w:r>
      <w:r w:rsidR="006454D0" w:rsidRPr="003A1B55">
        <w:rPr>
          <w:rStyle w:val="Hyperlink"/>
          <w:rFonts w:eastAsia="Times New Roman" w:cs="Times New Roman"/>
          <w:color w:val="auto"/>
          <w:u w:val="none"/>
          <w:lang w:eastAsia="da-DK"/>
        </w:rPr>
        <w:t>4:10)</w:t>
      </w:r>
      <w:r w:rsidRPr="003A1B55">
        <w:rPr>
          <w:rStyle w:val="Hyperlink"/>
          <w:rFonts w:eastAsia="Times New Roman" w:cs="Times New Roman"/>
          <w:color w:val="auto"/>
          <w:u w:val="none"/>
          <w:lang w:eastAsia="da-DK"/>
        </w:rPr>
        <w:t>.  Følg godt med og se den igen, hvis du er i tvivl.</w:t>
      </w:r>
      <w:r w:rsidR="006454D0" w:rsidRPr="003A1B55">
        <w:rPr>
          <w:rStyle w:val="Hyperlink"/>
          <w:rFonts w:eastAsia="Times New Roman" w:cs="Times New Roman"/>
          <w:color w:val="auto"/>
          <w:u w:val="none"/>
          <w:lang w:eastAsia="da-DK"/>
        </w:rPr>
        <w:t xml:space="preserve"> I filmen beviser de også sætningen: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326"/>
        <w:gridCol w:w="2410"/>
      </w:tblGrid>
      <w:tr w:rsidR="006454D0" w:rsidRPr="003A1B55" w14:paraId="0F1C0932" w14:textId="77777777" w:rsidTr="006454D0">
        <w:tc>
          <w:tcPr>
            <w:tcW w:w="4672" w:type="dxa"/>
          </w:tcPr>
          <w:p w14:paraId="748119EA" w14:textId="77777777" w:rsidR="006454D0" w:rsidRPr="003A1B55" w:rsidRDefault="006454D0" w:rsidP="006454D0">
            <w:pPr>
              <w:spacing w:before="240"/>
              <w:rPr>
                <w:rStyle w:val="Hyperlink"/>
                <w:rFonts w:eastAsia="Times New Roman" w:cs="Times New Roman"/>
                <w:color w:val="auto"/>
                <w:u w:val="none"/>
                <w:lang w:eastAsia="da-DK"/>
              </w:rPr>
            </w:pPr>
            <w:r w:rsidRPr="003A1B55">
              <w:rPr>
                <w:noProof/>
                <w:lang w:eastAsia="da-DK"/>
              </w:rPr>
              <w:drawing>
                <wp:inline distT="0" distB="0" distL="0" distR="0" wp14:anchorId="65F2C447" wp14:editId="5DDBDFEA">
                  <wp:extent cx="4511864" cy="983848"/>
                  <wp:effectExtent l="0" t="0" r="3175" b="6985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4783" cy="1008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</w:tcPr>
          <w:p w14:paraId="17CC2E61" w14:textId="77777777" w:rsidR="006454D0" w:rsidRPr="003A1B55" w:rsidRDefault="006454D0" w:rsidP="006454D0">
            <w:pPr>
              <w:spacing w:before="240"/>
              <w:rPr>
                <w:rStyle w:val="Hyperlink"/>
                <w:rFonts w:eastAsia="Times New Roman" w:cs="Times New Roman"/>
                <w:color w:val="auto"/>
                <w:u w:val="none"/>
                <w:lang w:eastAsia="da-DK"/>
              </w:rPr>
            </w:pPr>
            <w:r w:rsidRPr="003A1B55">
              <w:rPr>
                <w:noProof/>
                <w:lang w:eastAsia="da-DK"/>
              </w:rPr>
              <w:drawing>
                <wp:inline distT="0" distB="0" distL="0" distR="0" wp14:anchorId="2D60B59B" wp14:editId="4376743B">
                  <wp:extent cx="1359593" cy="1160627"/>
                  <wp:effectExtent l="0" t="0" r="0" b="1905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852" cy="1168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99815B" w14:textId="77777777" w:rsidR="00921A10" w:rsidRDefault="006454D0" w:rsidP="00921A10">
      <w:pPr>
        <w:spacing w:before="240"/>
        <w:rPr>
          <w:rStyle w:val="Hyperlink"/>
          <w:rFonts w:eastAsiaTheme="minorEastAsia"/>
          <w:color w:val="auto"/>
          <w:u w:val="none"/>
        </w:rPr>
      </w:pPr>
      <w:r w:rsidRPr="003A1B55">
        <w:rPr>
          <w:noProof/>
          <w:lang w:eastAsia="da-DK"/>
        </w:rPr>
        <w:t xml:space="preserve"> </w:t>
      </w:r>
      <w:hyperlink r:id="rId8" w:history="1">
        <w:r w:rsidRPr="003A1B55">
          <w:rPr>
            <w:rStyle w:val="Hyperlink"/>
            <w:rFonts w:eastAsia="Times New Roman" w:cs="Times New Roman"/>
            <w:lang w:eastAsia="da-DK"/>
          </w:rPr>
          <w:t>https://www.youtube.com/watch?v=Pxmmxin9LRI</w:t>
        </w:r>
      </w:hyperlink>
    </w:p>
    <w:p w14:paraId="390450C2" w14:textId="77777777" w:rsidR="003A1B55" w:rsidRPr="00921A10" w:rsidRDefault="007A4EC5" w:rsidP="00921A10">
      <w:pPr>
        <w:spacing w:before="240"/>
        <w:rPr>
          <w:rStyle w:val="Hyperlink"/>
          <w:rFonts w:eastAsiaTheme="minorEastAsia"/>
          <w:color w:val="auto"/>
          <w:u w:val="none"/>
        </w:rPr>
      </w:pPr>
      <w:r w:rsidRPr="003A1B55">
        <w:rPr>
          <w:rStyle w:val="Hyperlink"/>
          <w:rFonts w:eastAsia="Times New Roman" w:cs="Times New Roman"/>
          <w:color w:val="auto"/>
          <w:u w:val="none"/>
          <w:lang w:eastAsia="da-DK"/>
        </w:rPr>
        <w:t>På samme måde som vi ved</w:t>
      </w:r>
      <w:r w:rsidR="003A1B55" w:rsidRPr="003A1B55">
        <w:rPr>
          <w:rStyle w:val="Hyperlink"/>
          <w:rFonts w:eastAsia="Times New Roman" w:cs="Times New Roman"/>
          <w:color w:val="auto"/>
          <w:u w:val="none"/>
          <w:lang w:eastAsia="da-DK"/>
        </w:rPr>
        <w:t>,</w:t>
      </w:r>
      <w:r w:rsidRPr="003A1B55">
        <w:rPr>
          <w:rStyle w:val="Hyperlink"/>
          <w:rFonts w:eastAsia="Times New Roman" w:cs="Times New Roman"/>
          <w:color w:val="auto"/>
          <w:u w:val="none"/>
          <w:lang w:eastAsia="da-DK"/>
        </w:rPr>
        <w:t xml:space="preserve"> at to vektorer er o</w:t>
      </w:r>
      <w:r w:rsidR="003A1B55" w:rsidRPr="003A1B55">
        <w:rPr>
          <w:rStyle w:val="Hyperlink"/>
          <w:rFonts w:eastAsia="Times New Roman" w:cs="Times New Roman"/>
          <w:color w:val="auto"/>
          <w:u w:val="none"/>
          <w:lang w:eastAsia="da-DK"/>
        </w:rPr>
        <w:t>rtogonale</w:t>
      </w:r>
      <w:r w:rsidRPr="003A1B55">
        <w:rPr>
          <w:rStyle w:val="Hyperlink"/>
          <w:rFonts w:eastAsia="Times New Roman" w:cs="Times New Roman"/>
          <w:color w:val="auto"/>
          <w:u w:val="none"/>
          <w:lang w:eastAsia="da-DK"/>
        </w:rPr>
        <w:t xml:space="preserve">, når deres prikprodukt er 0 er det nyttigt at kunne beregne </w:t>
      </w:r>
      <w:r w:rsidR="003A1B55" w:rsidRPr="003A1B55">
        <w:rPr>
          <w:rStyle w:val="Hyperlink"/>
          <w:rFonts w:eastAsia="Times New Roman" w:cs="Times New Roman"/>
          <w:color w:val="auto"/>
          <w:u w:val="none"/>
          <w:lang w:eastAsia="da-DK"/>
        </w:rPr>
        <w:t>om</w:t>
      </w:r>
      <w:r w:rsidRPr="003A1B55">
        <w:rPr>
          <w:rStyle w:val="Hyperlink"/>
          <w:rFonts w:eastAsia="Times New Roman" w:cs="Times New Roman"/>
          <w:color w:val="auto"/>
          <w:u w:val="none"/>
          <w:lang w:eastAsia="da-DK"/>
        </w:rPr>
        <w:t xml:space="preserve"> to vektorer er parallelle. </w:t>
      </w:r>
      <w:r w:rsidRPr="003A1B55">
        <w:rPr>
          <w:rStyle w:val="Hyperlink"/>
          <w:rFonts w:eastAsia="Times New Roman" w:cs="Times New Roman"/>
          <w:i/>
          <w:color w:val="auto"/>
          <w:u w:val="none"/>
          <w:lang w:eastAsia="da-DK"/>
        </w:rPr>
        <w:t>To vektorer er parallelle, hvis deres determinant er 0.</w:t>
      </w:r>
      <w:r w:rsidRPr="003A1B55">
        <w:rPr>
          <w:rStyle w:val="Hyperlink"/>
          <w:rFonts w:eastAsia="Times New Roman" w:cs="Times New Roman"/>
          <w:color w:val="auto"/>
          <w:u w:val="none"/>
          <w:lang w:eastAsia="da-DK"/>
        </w:rPr>
        <w:t xml:space="preserve"> Derfor skal vi først have defineret determinanten. </w:t>
      </w:r>
    </w:p>
    <w:p w14:paraId="759AEE00" w14:textId="77777777" w:rsidR="007A4EC5" w:rsidRPr="003A1B55" w:rsidRDefault="007A4EC5" w:rsidP="006454D0">
      <w:pPr>
        <w:spacing w:after="0" w:line="240" w:lineRule="auto"/>
        <w:rPr>
          <w:rStyle w:val="Hyperlink"/>
          <w:rFonts w:eastAsia="Times New Roman" w:cs="Times New Roman"/>
          <w:color w:val="auto"/>
          <w:u w:val="none"/>
          <w:lang w:eastAsia="da-DK"/>
        </w:rPr>
      </w:pPr>
      <w:r w:rsidRPr="003A1B55">
        <w:rPr>
          <w:noProof/>
          <w:lang w:eastAsia="da-DK"/>
        </w:rPr>
        <w:drawing>
          <wp:inline distT="0" distB="0" distL="0" distR="0" wp14:anchorId="7223BEAB" wp14:editId="553E86D7">
            <wp:extent cx="4884561" cy="3038621"/>
            <wp:effectExtent l="0" t="0" r="0" b="952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04876" cy="3051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979CC" w14:textId="77777777" w:rsidR="007A4EC5" w:rsidRPr="003A1B55" w:rsidRDefault="007A4EC5" w:rsidP="006454D0">
      <w:pPr>
        <w:spacing w:after="0" w:line="240" w:lineRule="auto"/>
        <w:rPr>
          <w:rStyle w:val="Hyperlink"/>
          <w:rFonts w:eastAsia="Times New Roman" w:cs="Times New Roman"/>
          <w:color w:val="auto"/>
          <w:u w:val="none"/>
          <w:lang w:eastAsia="da-DK"/>
        </w:rPr>
      </w:pPr>
      <w:r w:rsidRPr="003A1B55">
        <w:rPr>
          <w:rStyle w:val="Hyperlink"/>
          <w:rFonts w:eastAsia="Times New Roman" w:cs="Times New Roman"/>
          <w:color w:val="auto"/>
          <w:u w:val="none"/>
          <w:lang w:eastAsia="da-DK"/>
        </w:rPr>
        <w:t xml:space="preserve">Her er en lille film, der gennemgår begrebet: </w:t>
      </w:r>
      <w:r w:rsidRPr="003A1B55">
        <w:rPr>
          <w:rStyle w:val="Hyperlink"/>
          <w:rFonts w:eastAsia="Times New Roman" w:cs="Times New Roman"/>
          <w:i/>
          <w:color w:val="auto"/>
          <w:u w:val="none"/>
          <w:lang w:eastAsia="da-DK"/>
        </w:rPr>
        <w:t>Determinant</w:t>
      </w:r>
      <w:r w:rsidR="003A1B55" w:rsidRPr="003A1B55">
        <w:rPr>
          <w:rStyle w:val="Hyperlink"/>
          <w:rFonts w:eastAsia="Times New Roman" w:cs="Times New Roman"/>
          <w:i/>
          <w:color w:val="auto"/>
          <w:u w:val="none"/>
          <w:lang w:eastAsia="da-DK"/>
        </w:rPr>
        <w:t xml:space="preserve"> </w:t>
      </w:r>
      <w:r w:rsidR="004C5A07" w:rsidRPr="003A1B55">
        <w:rPr>
          <w:rStyle w:val="Hyperlink"/>
          <w:rFonts w:eastAsia="Times New Roman" w:cs="Times New Roman"/>
          <w:i/>
          <w:color w:val="auto"/>
          <w:u w:val="none"/>
          <w:lang w:eastAsia="da-DK"/>
        </w:rPr>
        <w:t>(5:55)</w:t>
      </w:r>
      <w:r w:rsidR="004C5A07" w:rsidRPr="003A1B55">
        <w:rPr>
          <w:rStyle w:val="Hyperlink"/>
          <w:rFonts w:eastAsia="Times New Roman" w:cs="Times New Roman"/>
          <w:color w:val="auto"/>
          <w:u w:val="none"/>
          <w:lang w:eastAsia="da-DK"/>
        </w:rPr>
        <w:t xml:space="preserve"> </w:t>
      </w:r>
      <w:r w:rsidR="003A1B55" w:rsidRPr="003A1B55">
        <w:rPr>
          <w:rStyle w:val="Hyperlink"/>
          <w:rFonts w:eastAsia="Times New Roman" w:cs="Times New Roman"/>
          <w:color w:val="auto"/>
          <w:u w:val="none"/>
          <w:lang w:eastAsia="da-DK"/>
        </w:rPr>
        <w:t>af Jan Heinze:</w:t>
      </w:r>
    </w:p>
    <w:p w14:paraId="27B2746E" w14:textId="77777777" w:rsidR="007A4EC5" w:rsidRPr="003A1B55" w:rsidRDefault="00000000" w:rsidP="007A4EC5">
      <w:pPr>
        <w:spacing w:after="0" w:line="240" w:lineRule="auto"/>
        <w:rPr>
          <w:rStyle w:val="Hyperlink"/>
          <w:rFonts w:eastAsia="Times New Roman" w:cs="Times New Roman"/>
          <w:lang w:eastAsia="da-DK"/>
        </w:rPr>
      </w:pPr>
      <w:hyperlink r:id="rId10" w:history="1">
        <w:r w:rsidR="007A4EC5" w:rsidRPr="003A1B55">
          <w:rPr>
            <w:rStyle w:val="Hyperlink"/>
            <w:rFonts w:eastAsia="Times New Roman" w:cs="Times New Roman"/>
            <w:lang w:eastAsia="da-DK"/>
          </w:rPr>
          <w:t>https://www.youtube.com/watch?v=ekuFC035Ag0</w:t>
        </w:r>
      </w:hyperlink>
    </w:p>
    <w:p w14:paraId="04297A54" w14:textId="77777777" w:rsidR="006454D0" w:rsidRPr="003A1B55" w:rsidRDefault="004C5A07" w:rsidP="00ED4E6E">
      <w:pPr>
        <w:spacing w:before="240"/>
        <w:rPr>
          <w:rFonts w:eastAsiaTheme="minorEastAsia"/>
        </w:rPr>
      </w:pPr>
      <w:r w:rsidRPr="003A1B55">
        <w:rPr>
          <w:rFonts w:eastAsiaTheme="minorEastAsia"/>
        </w:rPr>
        <w:t>Her er et</w:t>
      </w:r>
      <w:r w:rsidR="003A1B55" w:rsidRPr="003A1B55">
        <w:rPr>
          <w:rFonts w:eastAsiaTheme="minorEastAsia"/>
        </w:rPr>
        <w:t xml:space="preserve"> eksempel fra Geometri i planen s. 24:</w:t>
      </w:r>
    </w:p>
    <w:p w14:paraId="46469E3D" w14:textId="77777777" w:rsidR="003A1B55" w:rsidRPr="003A1B55" w:rsidRDefault="004C5A07" w:rsidP="003A1B55">
      <w:pPr>
        <w:spacing w:before="240"/>
        <w:rPr>
          <w:rFonts w:eastAsiaTheme="minorEastAsia"/>
        </w:rPr>
      </w:pPr>
      <w:r w:rsidRPr="003A1B55">
        <w:rPr>
          <w:noProof/>
          <w:lang w:eastAsia="da-DK"/>
        </w:rPr>
        <w:drawing>
          <wp:inline distT="0" distB="0" distL="0" distR="0" wp14:anchorId="60568B46" wp14:editId="36297C33">
            <wp:extent cx="4572000" cy="1646683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46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16D11" w14:textId="77777777" w:rsidR="004C5A07" w:rsidRPr="003A1B55" w:rsidRDefault="004C5A07" w:rsidP="003A1B55">
      <w:pPr>
        <w:spacing w:before="240"/>
        <w:rPr>
          <w:rFonts w:eastAsiaTheme="minorEastAsia"/>
        </w:rPr>
      </w:pPr>
      <w:r w:rsidRPr="003A1B55">
        <w:rPr>
          <w:rStyle w:val="Hyperlink"/>
          <w:rFonts w:eastAsia="Times New Roman" w:cs="Times New Roman"/>
          <w:b/>
          <w:color w:val="auto"/>
          <w:u w:val="none"/>
          <w:lang w:eastAsia="da-DK"/>
        </w:rPr>
        <w:lastRenderedPageBreak/>
        <w:t>Opgaver med tværvektor og determinant:</w:t>
      </w:r>
      <w:r w:rsidR="007B49E5" w:rsidRPr="003A1B55">
        <w:rPr>
          <w:rStyle w:val="Hyperlink"/>
          <w:rFonts w:eastAsia="Times New Roman" w:cs="Times New Roman"/>
          <w:b/>
          <w:color w:val="auto"/>
          <w:u w:val="none"/>
          <w:lang w:eastAsia="da-DK"/>
        </w:rPr>
        <w:t xml:space="preserve"> </w:t>
      </w:r>
      <w:r w:rsidR="007B49E5" w:rsidRPr="003A1B55">
        <w:rPr>
          <w:rStyle w:val="Hyperlink"/>
          <w:rFonts w:eastAsia="Times New Roman" w:cs="Times New Roman"/>
          <w:color w:val="auto"/>
          <w:u w:val="none"/>
          <w:lang w:eastAsia="da-DK"/>
        </w:rPr>
        <w:t xml:space="preserve">Løs opgaverne i hånden. Se filmen igen hvis du har brug for det. </w:t>
      </w:r>
    </w:p>
    <w:tbl>
      <w:tblPr>
        <w:tblStyle w:val="Tabel-Gitter"/>
        <w:tblW w:w="9819" w:type="dxa"/>
        <w:tblLook w:val="04A0" w:firstRow="1" w:lastRow="0" w:firstColumn="1" w:lastColumn="0" w:noHBand="0" w:noVBand="1"/>
      </w:tblPr>
      <w:tblGrid>
        <w:gridCol w:w="5618"/>
        <w:gridCol w:w="4201"/>
      </w:tblGrid>
      <w:tr w:rsidR="004C5A07" w:rsidRPr="003A1B55" w14:paraId="7E561822" w14:textId="77777777" w:rsidTr="003A1B55">
        <w:trPr>
          <w:trHeight w:val="4108"/>
        </w:trPr>
        <w:tc>
          <w:tcPr>
            <w:tcW w:w="5618" w:type="dxa"/>
          </w:tcPr>
          <w:p w14:paraId="6931F605" w14:textId="77777777" w:rsidR="004C5A07" w:rsidRPr="003A1B55" w:rsidRDefault="004C5A07" w:rsidP="00ED4E6E">
            <w:pPr>
              <w:spacing w:before="240"/>
              <w:rPr>
                <w:rFonts w:eastAsiaTheme="minorEastAsia"/>
              </w:rPr>
            </w:pPr>
            <w:r w:rsidRPr="003A1B55">
              <w:rPr>
                <w:noProof/>
                <w:lang w:eastAsia="da-DK"/>
              </w:rPr>
              <w:drawing>
                <wp:inline distT="0" distB="0" distL="0" distR="0" wp14:anchorId="7329DEA8" wp14:editId="148DDDE1">
                  <wp:extent cx="3390314" cy="2443749"/>
                  <wp:effectExtent l="0" t="0" r="635" b="0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302" cy="2457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1" w:type="dxa"/>
          </w:tcPr>
          <w:p w14:paraId="3CB81DA5" w14:textId="77777777" w:rsidR="004C5A07" w:rsidRPr="003A1B55" w:rsidRDefault="004C5A07" w:rsidP="00ED4E6E">
            <w:pPr>
              <w:spacing w:before="240"/>
              <w:rPr>
                <w:rFonts w:eastAsiaTheme="minorEastAsia"/>
              </w:rPr>
            </w:pPr>
            <w:r w:rsidRPr="003A1B55">
              <w:rPr>
                <w:noProof/>
                <w:lang w:eastAsia="da-DK"/>
              </w:rPr>
              <w:drawing>
                <wp:inline distT="0" distB="0" distL="0" distR="0" wp14:anchorId="284FD841" wp14:editId="73F055E8">
                  <wp:extent cx="2306794" cy="2276836"/>
                  <wp:effectExtent l="0" t="0" r="0" b="0"/>
                  <wp:docPr id="7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8172" cy="2278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E8BE59" w14:textId="77777777" w:rsidR="004C5A07" w:rsidRPr="003A1B55" w:rsidRDefault="004C5A07" w:rsidP="00ED4E6E">
      <w:pPr>
        <w:spacing w:before="240"/>
        <w:rPr>
          <w:rFonts w:eastAsiaTheme="minorEastAsia"/>
        </w:rPr>
      </w:pPr>
    </w:p>
    <w:p w14:paraId="46DB28AF" w14:textId="77777777" w:rsidR="004C5A07" w:rsidRPr="003A1B55" w:rsidRDefault="004C5A07" w:rsidP="00ED4E6E">
      <w:pPr>
        <w:spacing w:before="240"/>
        <w:rPr>
          <w:rFonts w:eastAsiaTheme="minorEastAsia"/>
        </w:rPr>
      </w:pPr>
    </w:p>
    <w:p w14:paraId="60B49EEF" w14:textId="77777777" w:rsidR="004C5A07" w:rsidRPr="003A1B55" w:rsidRDefault="004C5A07" w:rsidP="00ED4E6E">
      <w:pPr>
        <w:spacing w:before="240"/>
        <w:rPr>
          <w:rFonts w:eastAsiaTheme="minorEastAsia"/>
        </w:rPr>
      </w:pPr>
    </w:p>
    <w:p w14:paraId="0C421D1B" w14:textId="77777777" w:rsidR="004C5A07" w:rsidRPr="003A1B55" w:rsidRDefault="004C5A07" w:rsidP="00ED4E6E">
      <w:pPr>
        <w:spacing w:before="240"/>
        <w:rPr>
          <w:rFonts w:eastAsiaTheme="minorEastAsia"/>
        </w:rPr>
      </w:pPr>
    </w:p>
    <w:p w14:paraId="5F6345F6" w14:textId="77777777" w:rsidR="004C5A07" w:rsidRDefault="004C5A07" w:rsidP="00ED4E6E">
      <w:pPr>
        <w:spacing w:before="240"/>
        <w:rPr>
          <w:rFonts w:eastAsiaTheme="minorEastAsia"/>
        </w:rPr>
      </w:pPr>
    </w:p>
    <w:p w14:paraId="7E7FCE32" w14:textId="77777777" w:rsidR="006032FC" w:rsidRPr="003A1B55" w:rsidRDefault="006032FC" w:rsidP="00ED4E6E">
      <w:pPr>
        <w:spacing w:before="240"/>
        <w:rPr>
          <w:rFonts w:eastAsiaTheme="minorEastAsia"/>
        </w:rPr>
      </w:pPr>
    </w:p>
    <w:tbl>
      <w:tblPr>
        <w:tblStyle w:val="Tabel-Gitter"/>
        <w:tblW w:w="10774" w:type="dxa"/>
        <w:tblInd w:w="-714" w:type="dxa"/>
        <w:tblLook w:val="04A0" w:firstRow="1" w:lastRow="0" w:firstColumn="1" w:lastColumn="0" w:noHBand="0" w:noVBand="1"/>
      </w:tblPr>
      <w:tblGrid>
        <w:gridCol w:w="5167"/>
        <w:gridCol w:w="5718"/>
      </w:tblGrid>
      <w:tr w:rsidR="003A1B55" w:rsidRPr="003A1B55" w14:paraId="2AA35C99" w14:textId="77777777" w:rsidTr="003A1B55">
        <w:tc>
          <w:tcPr>
            <w:tcW w:w="5167" w:type="dxa"/>
          </w:tcPr>
          <w:p w14:paraId="08166095" w14:textId="77777777" w:rsidR="003A1B55" w:rsidRPr="003A1B55" w:rsidRDefault="003A1B55" w:rsidP="00ED4E6E">
            <w:pPr>
              <w:spacing w:before="240"/>
              <w:rPr>
                <w:rFonts w:eastAsiaTheme="minorEastAsia"/>
              </w:rPr>
            </w:pPr>
            <w:r w:rsidRPr="003A1B55">
              <w:rPr>
                <w:noProof/>
                <w:lang w:eastAsia="da-DK"/>
              </w:rPr>
              <w:drawing>
                <wp:inline distT="0" distB="0" distL="0" distR="0" wp14:anchorId="1A280DF5" wp14:editId="6878AA52">
                  <wp:extent cx="3144155" cy="1853396"/>
                  <wp:effectExtent l="0" t="0" r="0" b="0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5642" cy="1866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7" w:type="dxa"/>
          </w:tcPr>
          <w:p w14:paraId="5D83F6E3" w14:textId="77777777" w:rsidR="003A1B55" w:rsidRPr="003A1B55" w:rsidRDefault="003A1B55" w:rsidP="00ED4E6E">
            <w:pPr>
              <w:spacing w:before="240"/>
              <w:rPr>
                <w:rFonts w:eastAsiaTheme="minorEastAsia"/>
              </w:rPr>
            </w:pPr>
            <w:r w:rsidRPr="003A1B55">
              <w:rPr>
                <w:rFonts w:eastAsiaTheme="minorEastAsia"/>
                <w:noProof/>
              </w:rPr>
              <w:drawing>
                <wp:inline distT="0" distB="0" distL="0" distR="0" wp14:anchorId="0DAC2967" wp14:editId="33268F31">
                  <wp:extent cx="3494146" cy="1174653"/>
                  <wp:effectExtent l="0" t="0" r="0" b="6985"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276" cy="1195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243644" w14:textId="77777777" w:rsidR="004C5A07" w:rsidRPr="003A1B55" w:rsidRDefault="004C5A07" w:rsidP="00ED4E6E">
      <w:pPr>
        <w:spacing w:before="240"/>
        <w:rPr>
          <w:rFonts w:eastAsiaTheme="minorEastAsia"/>
        </w:rPr>
      </w:pPr>
    </w:p>
    <w:p w14:paraId="0042C2FF" w14:textId="77777777" w:rsidR="004C5A07" w:rsidRPr="003A1B55" w:rsidRDefault="004C5A07" w:rsidP="00ED4E6E">
      <w:pPr>
        <w:spacing w:before="240"/>
        <w:rPr>
          <w:rFonts w:eastAsiaTheme="minorEastAsia"/>
        </w:rPr>
      </w:pPr>
    </w:p>
    <w:p w14:paraId="1C3F6085" w14:textId="77777777" w:rsidR="004C5A07" w:rsidRPr="003A1B55" w:rsidRDefault="004C5A07" w:rsidP="00ED4E6E">
      <w:pPr>
        <w:spacing w:before="240"/>
        <w:rPr>
          <w:rFonts w:eastAsiaTheme="minorEastAsia"/>
        </w:rPr>
      </w:pPr>
    </w:p>
    <w:p w14:paraId="4666846B" w14:textId="77777777" w:rsidR="004C5A07" w:rsidRPr="003A1B55" w:rsidRDefault="004C5A07" w:rsidP="00ED4E6E">
      <w:pPr>
        <w:spacing w:before="240"/>
        <w:rPr>
          <w:rFonts w:eastAsiaTheme="minorEastAsia"/>
        </w:rPr>
      </w:pPr>
    </w:p>
    <w:sectPr w:rsidR="004C5A07" w:rsidRPr="003A1B55" w:rsidSect="003A1B55">
      <w:headerReference w:type="default" r:id="rId1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087AF" w14:textId="77777777" w:rsidR="003C56D7" w:rsidRDefault="003C56D7" w:rsidP="004520FE">
      <w:pPr>
        <w:spacing w:after="0" w:line="240" w:lineRule="auto"/>
      </w:pPr>
      <w:r>
        <w:separator/>
      </w:r>
    </w:p>
  </w:endnote>
  <w:endnote w:type="continuationSeparator" w:id="0">
    <w:p w14:paraId="2E7FEAFE" w14:textId="77777777" w:rsidR="003C56D7" w:rsidRDefault="003C56D7" w:rsidP="00452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E7F75" w14:textId="77777777" w:rsidR="003C56D7" w:rsidRDefault="003C56D7" w:rsidP="004520FE">
      <w:pPr>
        <w:spacing w:after="0" w:line="240" w:lineRule="auto"/>
      </w:pPr>
      <w:r>
        <w:separator/>
      </w:r>
    </w:p>
  </w:footnote>
  <w:footnote w:type="continuationSeparator" w:id="0">
    <w:p w14:paraId="5F7F3062" w14:textId="77777777" w:rsidR="003C56D7" w:rsidRDefault="003C56D7" w:rsidP="00452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C94B" w14:textId="77777777" w:rsidR="004520FE" w:rsidRDefault="004520FE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1B462B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3D6B77D5" w14:textId="77777777" w:rsidR="004520FE" w:rsidRDefault="006454D0">
                              <w:pPr>
                                <w:spacing w:after="0" w:line="240" w:lineRule="auto"/>
                              </w:pPr>
                              <w:r>
                                <w:t xml:space="preserve">Arbejdsark </w:t>
                              </w:r>
                              <w:r w:rsidR="003A1B55">
                                <w:t xml:space="preserve">6 </w:t>
                              </w:r>
                              <w:r>
                                <w:t>- Tværvektor og determinant</w:t>
                              </w:r>
                              <w:r w:rsidR="004520FE">
                                <w:t>/1g/matematik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4520FE" w:rsidRDefault="006454D0">
                        <w:pPr>
                          <w:spacing w:after="0" w:line="240" w:lineRule="auto"/>
                        </w:pPr>
                        <w:r>
                          <w:t xml:space="preserve">Arbejdsark </w:t>
                        </w:r>
                        <w:r w:rsidR="003A1B55">
                          <w:t xml:space="preserve">6 </w:t>
                        </w:r>
                        <w:r>
                          <w:t>- Tværvektor og determinant</w:t>
                        </w:r>
                        <w:r w:rsidR="004520FE">
                          <w:t>/1g/matematik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C8948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7652670" w14:textId="77777777" w:rsidR="004520FE" w:rsidRDefault="004520FE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A1128D" w:rsidRPr="00A1128D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BpkIFIkAgAAMgQAAA4AAAAAAAAAAAAAAAAALgIAAGRycy9lMm9Eb2MueG1s&#10;UEsBAi0AFAAGAAgAAAAhAEBxNDjbAAAABAEAAA8AAAAAAAAAAAAAAAAAfgQAAGRycy9kb3ducmV2&#10;LnhtbFBLBQYAAAAABAAEAPMAAACGBQAAAAA=&#10;" o:allowincell="f" fillcolor="#a8d08d [1945]" stroked="f">
              <v:textbox style="mso-fit-shape-to-text:t" inset=",0,,0">
                <w:txbxContent>
                  <w:p w:rsidR="004520FE" w:rsidRDefault="004520FE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A1128D" w:rsidRPr="00A1128D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0FE"/>
    <w:rsid w:val="00032B62"/>
    <w:rsid w:val="00062901"/>
    <w:rsid w:val="00101C85"/>
    <w:rsid w:val="0010341C"/>
    <w:rsid w:val="00181D6B"/>
    <w:rsid w:val="00185114"/>
    <w:rsid w:val="001B177D"/>
    <w:rsid w:val="001D2325"/>
    <w:rsid w:val="001E541A"/>
    <w:rsid w:val="0024346C"/>
    <w:rsid w:val="002717D2"/>
    <w:rsid w:val="002C26AC"/>
    <w:rsid w:val="003538B6"/>
    <w:rsid w:val="00392537"/>
    <w:rsid w:val="003A1B55"/>
    <w:rsid w:val="003B665E"/>
    <w:rsid w:val="003C56D7"/>
    <w:rsid w:val="003E2EC5"/>
    <w:rsid w:val="00437176"/>
    <w:rsid w:val="00446AEA"/>
    <w:rsid w:val="004520FE"/>
    <w:rsid w:val="00460E4B"/>
    <w:rsid w:val="00470B04"/>
    <w:rsid w:val="004A1593"/>
    <w:rsid w:val="004C5A07"/>
    <w:rsid w:val="004D6026"/>
    <w:rsid w:val="004E7A54"/>
    <w:rsid w:val="004F50FA"/>
    <w:rsid w:val="0057564C"/>
    <w:rsid w:val="006032FC"/>
    <w:rsid w:val="00630191"/>
    <w:rsid w:val="006454D0"/>
    <w:rsid w:val="0067201A"/>
    <w:rsid w:val="006C2E4C"/>
    <w:rsid w:val="007420CE"/>
    <w:rsid w:val="007A4EC5"/>
    <w:rsid w:val="007B49E5"/>
    <w:rsid w:val="007E306D"/>
    <w:rsid w:val="00830905"/>
    <w:rsid w:val="00860084"/>
    <w:rsid w:val="008F0BFF"/>
    <w:rsid w:val="00906BBB"/>
    <w:rsid w:val="00921A10"/>
    <w:rsid w:val="009405F4"/>
    <w:rsid w:val="00A1128D"/>
    <w:rsid w:val="00A4793C"/>
    <w:rsid w:val="00A92250"/>
    <w:rsid w:val="00B03531"/>
    <w:rsid w:val="00B05E29"/>
    <w:rsid w:val="00B31836"/>
    <w:rsid w:val="00B354ED"/>
    <w:rsid w:val="00B3577A"/>
    <w:rsid w:val="00B5571E"/>
    <w:rsid w:val="00B92FAD"/>
    <w:rsid w:val="00C41971"/>
    <w:rsid w:val="00C733B0"/>
    <w:rsid w:val="00C7542E"/>
    <w:rsid w:val="00C82072"/>
    <w:rsid w:val="00C96880"/>
    <w:rsid w:val="00CC3E34"/>
    <w:rsid w:val="00CD2503"/>
    <w:rsid w:val="00CF1698"/>
    <w:rsid w:val="00D119E9"/>
    <w:rsid w:val="00D34C9A"/>
    <w:rsid w:val="00DA0E41"/>
    <w:rsid w:val="00DE00FD"/>
    <w:rsid w:val="00E14B59"/>
    <w:rsid w:val="00E64DAC"/>
    <w:rsid w:val="00ED015A"/>
    <w:rsid w:val="00ED4E6E"/>
    <w:rsid w:val="00F218A4"/>
    <w:rsid w:val="00F3584B"/>
    <w:rsid w:val="00F4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6CB62"/>
  <w15:chartTrackingRefBased/>
  <w15:docId w15:val="{A2A94F5C-32E0-4275-96A7-A1F9A7A8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4"/>
        <w:szCs w:val="24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52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520FE"/>
  </w:style>
  <w:style w:type="paragraph" w:styleId="Sidefod">
    <w:name w:val="footer"/>
    <w:basedOn w:val="Normal"/>
    <w:link w:val="SidefodTegn"/>
    <w:uiPriority w:val="99"/>
    <w:unhideWhenUsed/>
    <w:rsid w:val="00452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520FE"/>
  </w:style>
  <w:style w:type="character" w:styleId="Hyperlink">
    <w:name w:val="Hyperlink"/>
    <w:basedOn w:val="Standardskrifttypeiafsnit"/>
    <w:uiPriority w:val="99"/>
    <w:unhideWhenUsed/>
    <w:rsid w:val="004520FE"/>
    <w:rPr>
      <w:color w:val="0563C1" w:themeColor="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4520FE"/>
    <w:rPr>
      <w:color w:val="808080"/>
    </w:rPr>
  </w:style>
  <w:style w:type="table" w:styleId="Tabel-Gitter">
    <w:name w:val="Table Grid"/>
    <w:basedOn w:val="Tabel-Normal"/>
    <w:uiPriority w:val="39"/>
    <w:rsid w:val="00645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uiPriority w:val="99"/>
    <w:semiHidden/>
    <w:unhideWhenUsed/>
    <w:rsid w:val="007A4E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xmmxin9LRI" TargetMode="Externa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hyperlink" Target="https://www.youtube.com/watch?v=ekuFC035Ag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Arbejdsark - Tværvektor og determinant/1g/matematik</vt:lpstr>
    </vt:vector>
  </TitlesOfParts>
  <Company>IT-Center Fyn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Arbejdsark 6 - Tværvektor og determinant/1g/matematik</dc:title>
  <dc:subject/>
  <dc:creator>Hanne Busk</dc:creator>
  <cp:keywords/>
  <dc:description/>
  <cp:lastModifiedBy>Hanne Busk</cp:lastModifiedBy>
  <cp:revision>2</cp:revision>
  <dcterms:created xsi:type="dcterms:W3CDTF">2024-02-17T02:57:00Z</dcterms:created>
  <dcterms:modified xsi:type="dcterms:W3CDTF">2024-02-17T02:57:00Z</dcterms:modified>
</cp:coreProperties>
</file>