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8284" w14:textId="77777777" w:rsidR="00094663" w:rsidRPr="00094663" w:rsidRDefault="00094663" w:rsidP="00094663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094663">
        <w:rPr>
          <w:rFonts w:cstheme="minorHAnsi"/>
          <w:sz w:val="24"/>
          <w:szCs w:val="24"/>
        </w:rPr>
        <w:t>TLC (Thin Layer Chromatography) er en hurtig og effektiv metode til analyse af et eller flere stoffer. I TLC udnytter man at stoffer med forskellig polaritet vil have forskellig fordeling i to ikke-blandbare faser. I dette tilfælde består de to ikke-blandbare faser af hhv. en fast fase og en væskefase.</w:t>
      </w:r>
    </w:p>
    <w:p w14:paraId="4A28D19A" w14:textId="77777777" w:rsidR="00094663" w:rsidRPr="00094663" w:rsidRDefault="00094663" w:rsidP="00094663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094663">
        <w:rPr>
          <w:rFonts w:cstheme="minorHAnsi"/>
          <w:sz w:val="24"/>
          <w:szCs w:val="24"/>
        </w:rPr>
        <w:t>Kromatografi er en overordnet betegnelser for metoder til at separere to eller flere stoffer ved at udnytte stoffernes forskellige fordeling mellem to faser. Den ene fase er i bevægelse (mobil) mens den anden er fast (stationær).</w:t>
      </w:r>
    </w:p>
    <w:p w14:paraId="1AFDDE02" w14:textId="77777777" w:rsidR="009B665D" w:rsidRPr="00094663" w:rsidRDefault="00094663" w:rsidP="00094663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094663">
        <w:rPr>
          <w:rFonts w:cstheme="minorHAnsi"/>
          <w:sz w:val="24"/>
          <w:szCs w:val="24"/>
        </w:rPr>
        <w:t>Tyndtlagskromatografi, eller TLC, er en form for kromatografi hvor den stationære fase er et tyndt lag af fast stof fastgjort på en glas</w:t>
      </w:r>
      <w:r>
        <w:rPr>
          <w:rFonts w:cstheme="minorHAnsi"/>
          <w:sz w:val="24"/>
          <w:szCs w:val="24"/>
        </w:rPr>
        <w:t>-</w:t>
      </w:r>
      <w:r w:rsidRPr="00094663">
        <w:rPr>
          <w:rFonts w:cstheme="minorHAnsi"/>
          <w:sz w:val="24"/>
          <w:szCs w:val="24"/>
        </w:rPr>
        <w:t xml:space="preserve"> eller aluminiumsplade, mens den mobile fase er en væske eller en blanding af forskellige væsker. Den stationære fase kan f.eks. være</w:t>
      </w:r>
      <w:r w:rsidR="004A2612">
        <w:rPr>
          <w:rFonts w:cstheme="minorHAnsi"/>
          <w:sz w:val="24"/>
          <w:szCs w:val="24"/>
        </w:rPr>
        <w:t xml:space="preserve"> (og er det oftest)</w:t>
      </w:r>
      <w:r w:rsidRPr="00094663">
        <w:rPr>
          <w:rFonts w:cstheme="minorHAnsi"/>
          <w:sz w:val="24"/>
          <w:szCs w:val="24"/>
        </w:rPr>
        <w:t xml:space="preserve"> det siliciumbaserede stof silica, også kalde</w:t>
      </w:r>
      <w:r w:rsidR="00AD62A0">
        <w:rPr>
          <w:rFonts w:cstheme="minorHAnsi"/>
          <w:sz w:val="24"/>
          <w:szCs w:val="24"/>
        </w:rPr>
        <w:t>t kiselgel, der er meget polært, da det på overfladen har en masse OH-grupper (såkaldte silanol-grupper da de er bundet til Si).</w:t>
      </w:r>
    </w:p>
    <w:p w14:paraId="183ABD22" w14:textId="77777777" w:rsidR="00094663" w:rsidRPr="00094663" w:rsidRDefault="00094663" w:rsidP="00094663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207682FE" w14:textId="77777777" w:rsidR="00094663" w:rsidRPr="00094663" w:rsidRDefault="00094663" w:rsidP="00094663">
      <w:pPr>
        <w:ind w:firstLine="1304"/>
        <w:rPr>
          <w:rFonts w:cstheme="minorHAnsi"/>
          <w:noProof/>
          <w:lang w:eastAsia="da-DK"/>
        </w:rPr>
      </w:pPr>
      <w:r w:rsidRPr="00094663">
        <w:rPr>
          <w:rFonts w:cstheme="minorHAnsi"/>
          <w:noProof/>
          <w:lang w:eastAsia="da-DK"/>
        </w:rPr>
        <w:t xml:space="preserve"> </w:t>
      </w:r>
      <w:r w:rsidRPr="00094663">
        <w:rPr>
          <w:rFonts w:cstheme="minorHAnsi"/>
          <w:noProof/>
          <w:lang w:eastAsia="da-DK"/>
        </w:rPr>
        <w:drawing>
          <wp:inline distT="0" distB="0" distL="0" distR="0" wp14:anchorId="134FBC56" wp14:editId="08CB5B9B">
            <wp:extent cx="1980442" cy="1085850"/>
            <wp:effectExtent l="0" t="0" r="1270" b="0"/>
            <wp:docPr id="2" name="Billede 2" descr="C:\Users\Dennis\Documents\My Dropbox\UNF\Chemistry Camp\2010\lab\labmanual\Nye figurer\Labudstyr\Figur5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nis\Documents\My Dropbox\UNF\Chemistry Camp\2010\lab\labmanual\Nye figurer\Labudstyr\Figur5 cop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442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663">
        <w:rPr>
          <w:rFonts w:cstheme="minorHAnsi"/>
          <w:noProof/>
          <w:lang w:eastAsia="da-DK"/>
        </w:rPr>
        <w:t xml:space="preserve"> </w:t>
      </w:r>
      <w:r w:rsidRPr="00094663">
        <w:rPr>
          <w:rFonts w:cstheme="minorHAnsi"/>
          <w:noProof/>
          <w:lang w:eastAsia="da-DK"/>
        </w:rPr>
        <w:tab/>
      </w:r>
      <w:r w:rsidRPr="00094663">
        <w:rPr>
          <w:rFonts w:cstheme="minorHAnsi"/>
          <w:noProof/>
          <w:lang w:eastAsia="da-DK"/>
        </w:rPr>
        <w:tab/>
      </w:r>
      <w:r w:rsidRPr="00094663">
        <w:rPr>
          <w:rFonts w:cstheme="minorHAnsi"/>
          <w:noProof/>
          <w:lang w:eastAsia="da-DK"/>
        </w:rPr>
        <w:drawing>
          <wp:inline distT="0" distB="0" distL="0" distR="0" wp14:anchorId="0BA59871" wp14:editId="4B22956D">
            <wp:extent cx="931366" cy="1200150"/>
            <wp:effectExtent l="0" t="0" r="2540" b="0"/>
            <wp:docPr id="3" name="Billede 3" descr="C:\Users\Dennis\Documents\My Dropbox\UNF\Chemistry Camp\2010\lab\labmanual\Nye figurer\Labudstyr\Figur6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nis\Documents\My Dropbox\UNF\Chemistry Camp\2010\lab\labmanual\Nye figurer\Labudstyr\Figur6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222" cy="120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C023E" w14:textId="77777777" w:rsidR="00094663" w:rsidRPr="00094663" w:rsidRDefault="00094663" w:rsidP="00094663">
      <w:pPr>
        <w:ind w:firstLine="1304"/>
        <w:jc w:val="center"/>
        <w:rPr>
          <w:rFonts w:cstheme="minorHAnsi"/>
          <w:b/>
        </w:rPr>
      </w:pPr>
      <w:r w:rsidRPr="00094663">
        <w:rPr>
          <w:rFonts w:cstheme="minorHAnsi"/>
          <w:b/>
          <w:noProof/>
          <w:lang w:eastAsia="da-DK"/>
        </w:rPr>
        <w:t>Udførelse af TLC-analyse</w:t>
      </w:r>
    </w:p>
    <w:p w14:paraId="7F3EF8A9" w14:textId="77777777" w:rsidR="00094663" w:rsidRPr="00094663" w:rsidRDefault="00094663" w:rsidP="00094663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094663">
        <w:rPr>
          <w:rFonts w:cstheme="minorHAnsi"/>
          <w:sz w:val="24"/>
          <w:szCs w:val="24"/>
        </w:rPr>
        <w:t>I en organisk reaktion vil man meget sjældent ende ud med et rent produkt, idet de færreste organiske reaktioner som følge af bl.a. ligevægtsprincippet forløber 100 %. TLC er en meget følsom metode, og selv de mindste ændringer af et molekyle kan resultere i en polaritetsændring</w:t>
      </w:r>
      <w:r>
        <w:rPr>
          <w:rFonts w:cstheme="minorHAnsi"/>
          <w:sz w:val="24"/>
          <w:szCs w:val="24"/>
        </w:rPr>
        <w:t xml:space="preserve"> </w:t>
      </w:r>
      <w:r w:rsidRPr="00094663">
        <w:rPr>
          <w:rFonts w:cstheme="minorHAnsi"/>
          <w:sz w:val="24"/>
          <w:szCs w:val="24"/>
        </w:rPr>
        <w:t>der er stor nok til at blive detekteret. Det er derfor et vigtigt redskab</w:t>
      </w:r>
      <w:r>
        <w:rPr>
          <w:rFonts w:cstheme="minorHAnsi"/>
          <w:sz w:val="24"/>
          <w:szCs w:val="24"/>
        </w:rPr>
        <w:t xml:space="preserve"> til for det første at følge en r</w:t>
      </w:r>
      <w:r w:rsidRPr="00094663">
        <w:rPr>
          <w:rFonts w:cstheme="minorHAnsi"/>
          <w:sz w:val="24"/>
          <w:szCs w:val="24"/>
        </w:rPr>
        <w:t>eaktions forløb, men i høj grad også til at vurdere renheden af slutproduktet.</w:t>
      </w:r>
    </w:p>
    <w:p w14:paraId="2DD65A37" w14:textId="77777777" w:rsidR="00094663" w:rsidRPr="00094663" w:rsidRDefault="00094663" w:rsidP="00094663">
      <w:pPr>
        <w:autoSpaceDE w:val="0"/>
        <w:autoSpaceDN w:val="0"/>
        <w:adjustRightInd w:val="0"/>
        <w:spacing w:after="0"/>
        <w:rPr>
          <w:rFonts w:cstheme="minorHAnsi"/>
        </w:rPr>
      </w:pPr>
      <w:r w:rsidRPr="00094663">
        <w:rPr>
          <w:rFonts w:cstheme="minorHAnsi"/>
          <w:sz w:val="24"/>
          <w:szCs w:val="24"/>
        </w:rPr>
        <w:t xml:space="preserve">Hvis et stof har cirka samme polaritet som den stationære fase binder det stærkt, og kun meget lidt stof vil opløses i løbevæsken. Hvis stoffet derimod har en anden polaritet end den stationære fase, men til gengæld er opløselig i løbevæsken vil meget stof opløses i denne, og stoffet vil bevæge sig med den op gennem TLC-pladen. Hvor langt et stof vandrer op af TLC-pladen, afhænger altså af polariteten af </w:t>
      </w:r>
      <w:r>
        <w:rPr>
          <w:rFonts w:cstheme="minorHAnsi"/>
          <w:sz w:val="24"/>
          <w:szCs w:val="24"/>
        </w:rPr>
        <w:t xml:space="preserve">molekylet og </w:t>
      </w:r>
      <w:r w:rsidRPr="00094663">
        <w:rPr>
          <w:rFonts w:cstheme="minorHAnsi"/>
          <w:sz w:val="24"/>
          <w:szCs w:val="24"/>
        </w:rPr>
        <w:t>eluenten.</w:t>
      </w:r>
    </w:p>
    <w:sectPr w:rsidR="00094663" w:rsidRPr="000946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63"/>
    <w:rsid w:val="00094663"/>
    <w:rsid w:val="000D7805"/>
    <w:rsid w:val="001143F8"/>
    <w:rsid w:val="004A2612"/>
    <w:rsid w:val="00607821"/>
    <w:rsid w:val="009B665D"/>
    <w:rsid w:val="00AD62A0"/>
    <w:rsid w:val="00C5040B"/>
    <w:rsid w:val="00D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6326"/>
  <w15:docId w15:val="{EB6914B3-4084-47ED-A197-1B88A67E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4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Hanne Busk</cp:lastModifiedBy>
  <cp:revision>2</cp:revision>
  <dcterms:created xsi:type="dcterms:W3CDTF">2024-11-25T12:32:00Z</dcterms:created>
  <dcterms:modified xsi:type="dcterms:W3CDTF">2024-11-25T12:32:00Z</dcterms:modified>
</cp:coreProperties>
</file>