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DE24" w14:textId="77777777" w:rsidR="00710CA0" w:rsidRDefault="00710CA0"/>
    <w:p w14:paraId="6EA0FFE8" w14:textId="77777777" w:rsidR="0084518D" w:rsidRDefault="0084518D"/>
    <w:p w14:paraId="39981EC9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64"/>
          <w:szCs w:val="64"/>
        </w:rPr>
        <w:t xml:space="preserve">Olies migration i sand </w:t>
      </w:r>
    </w:p>
    <w:p w14:paraId="1BE1D8A4" w14:textId="77777777" w:rsidR="0084518D" w:rsidRDefault="0084518D" w:rsidP="0084518D">
      <w:pPr>
        <w:pStyle w:val="NormalWeb"/>
      </w:pPr>
      <w:proofErr w:type="spellStart"/>
      <w:r>
        <w:rPr>
          <w:rFonts w:ascii="MyriadPro" w:hAnsi="MyriadPro"/>
          <w:b/>
          <w:bCs/>
          <w:color w:val="637A38"/>
          <w:sz w:val="26"/>
          <w:szCs w:val="26"/>
        </w:rPr>
        <w:t>Formål</w:t>
      </w:r>
      <w:proofErr w:type="spellEnd"/>
      <w:r>
        <w:rPr>
          <w:rFonts w:ascii="MyriadPro" w:hAnsi="MyriadPro"/>
          <w:b/>
          <w:bCs/>
          <w:color w:val="637A38"/>
          <w:sz w:val="26"/>
          <w:szCs w:val="26"/>
        </w:rPr>
        <w:t xml:space="preserve"> </w:t>
      </w:r>
      <w:r>
        <w:rPr>
          <w:rFonts w:ascii="MyriadPro" w:hAnsi="MyriadPro"/>
          <w:b/>
          <w:bCs/>
          <w:color w:val="637A38"/>
          <w:position w:val="-2"/>
          <w:sz w:val="32"/>
          <w:szCs w:val="32"/>
        </w:rPr>
        <w:t>•</w:t>
      </w:r>
      <w:r>
        <w:rPr>
          <w:rFonts w:ascii="MyriadPro" w:hAnsi="MyriadPro"/>
          <w:b/>
          <w:bCs/>
          <w:color w:val="637A38"/>
          <w:position w:val="-2"/>
          <w:sz w:val="32"/>
          <w:szCs w:val="32"/>
        </w:rPr>
        <w:br/>
      </w:r>
      <w:r>
        <w:rPr>
          <w:rFonts w:ascii="MyriadPro" w:hAnsi="MyriadPro"/>
          <w:sz w:val="22"/>
          <w:szCs w:val="22"/>
        </w:rPr>
        <w:t xml:space="preserve">At udføre eksperimentelt arbejde </w:t>
      </w:r>
    </w:p>
    <w:p w14:paraId="4240DA54" w14:textId="77777777" w:rsidR="0084518D" w:rsidRDefault="0084518D" w:rsidP="0084518D">
      <w:pPr>
        <w:pStyle w:val="NormalWeb"/>
        <w:numPr>
          <w:ilvl w:val="0"/>
          <w:numId w:val="1"/>
        </w:numPr>
        <w:rPr>
          <w:rFonts w:ascii="MyriadPro" w:hAnsi="MyriadPro"/>
          <w:b/>
          <w:bCs/>
          <w:color w:val="637A38"/>
          <w:position w:val="-2"/>
          <w:sz w:val="32"/>
          <w:szCs w:val="32"/>
        </w:rPr>
      </w:pPr>
      <w:r>
        <w:rPr>
          <w:rFonts w:ascii="MyriadPro" w:hAnsi="MyriadPro"/>
          <w:b/>
          <w:bCs/>
          <w:color w:val="637A38"/>
          <w:position w:val="-2"/>
          <w:sz w:val="22"/>
          <w:szCs w:val="22"/>
        </w:rPr>
        <w:t xml:space="preserve">At </w:t>
      </w:r>
      <w:proofErr w:type="spellStart"/>
      <w:r>
        <w:rPr>
          <w:rFonts w:ascii="MyriadPro" w:hAnsi="MyriadPro"/>
          <w:b/>
          <w:bCs/>
          <w:color w:val="637A38"/>
          <w:position w:val="-2"/>
          <w:sz w:val="22"/>
          <w:szCs w:val="22"/>
        </w:rPr>
        <w:t>opna</w:t>
      </w:r>
      <w:proofErr w:type="spellEnd"/>
      <w:r>
        <w:rPr>
          <w:rFonts w:ascii="MyriadPro" w:hAnsi="MyriadPro"/>
          <w:b/>
          <w:bCs/>
          <w:color w:val="637A38"/>
          <w:position w:val="-2"/>
          <w:sz w:val="22"/>
          <w:szCs w:val="22"/>
        </w:rPr>
        <w:t xml:space="preserve">̊ viden om olies migration i sand </w:t>
      </w:r>
    </w:p>
    <w:p w14:paraId="4D049EAF" w14:textId="77777777" w:rsidR="0084518D" w:rsidRDefault="0084518D" w:rsidP="0084518D">
      <w:pPr>
        <w:pStyle w:val="NormalWeb"/>
        <w:numPr>
          <w:ilvl w:val="0"/>
          <w:numId w:val="1"/>
        </w:numPr>
        <w:rPr>
          <w:rFonts w:ascii="MyriadPro" w:hAnsi="MyriadPro"/>
          <w:b/>
          <w:bCs/>
          <w:color w:val="637A38"/>
          <w:position w:val="-2"/>
          <w:sz w:val="32"/>
          <w:szCs w:val="32"/>
        </w:rPr>
      </w:pPr>
      <w:r>
        <w:rPr>
          <w:rFonts w:ascii="MyriadPro" w:hAnsi="MyriadPro"/>
          <w:b/>
          <w:bCs/>
          <w:color w:val="637A38"/>
          <w:position w:val="-2"/>
          <w:sz w:val="22"/>
          <w:szCs w:val="22"/>
        </w:rPr>
        <w:t xml:space="preserve">At undersøge betydningen af forskelle i densitet og opløselighed </w:t>
      </w:r>
    </w:p>
    <w:p w14:paraId="45487511" w14:textId="77777777" w:rsidR="0084518D" w:rsidRDefault="0084518D" w:rsidP="0084518D">
      <w:pPr>
        <w:pStyle w:val="NormalWeb"/>
        <w:ind w:left="720"/>
        <w:rPr>
          <w:rFonts w:ascii="MyriadPro" w:hAnsi="MyriadPro"/>
          <w:b/>
          <w:bCs/>
          <w:color w:val="637A38"/>
          <w:position w:val="-2"/>
          <w:sz w:val="32"/>
          <w:szCs w:val="32"/>
        </w:rPr>
      </w:pPr>
      <w:r>
        <w:rPr>
          <w:rFonts w:ascii="MyriadPro" w:hAnsi="MyriadPro"/>
          <w:b/>
          <w:bCs/>
          <w:color w:val="637A38"/>
          <w:position w:val="-2"/>
          <w:sz w:val="16"/>
          <w:szCs w:val="16"/>
        </w:rPr>
        <w:t>Olies migration i sand</w:t>
      </w:r>
      <w:r>
        <w:rPr>
          <w:rFonts w:ascii="MyriadPro" w:hAnsi="MyriadPro"/>
          <w:b/>
          <w:bCs/>
          <w:color w:val="637A38"/>
          <w:position w:val="-2"/>
          <w:sz w:val="16"/>
          <w:szCs w:val="16"/>
        </w:rPr>
        <w:br/>
        <w:t xml:space="preserve">Naturgeografiportalen: www.naturgeografiportalen.systime.dk ©Systime </w:t>
      </w:r>
    </w:p>
    <w:p w14:paraId="07BFF0AF" w14:textId="77777777" w:rsidR="0084518D" w:rsidRDefault="0084518D" w:rsidP="0084518D">
      <w:pPr>
        <w:pStyle w:val="NormalWeb"/>
      </w:pPr>
      <w:r>
        <w:rPr>
          <w:rFonts w:ascii="MyriadPro" w:hAnsi="MyriadPro"/>
          <w:sz w:val="22"/>
          <w:szCs w:val="22"/>
        </w:rPr>
        <w:t xml:space="preserve">1/2 </w:t>
      </w:r>
    </w:p>
    <w:p w14:paraId="69812571" w14:textId="77777777" w:rsidR="0084518D" w:rsidRDefault="0084518D" w:rsidP="0084518D">
      <w:pPr>
        <w:pStyle w:val="NormalWeb"/>
      </w:pPr>
      <w:r>
        <w:rPr>
          <w:rFonts w:ascii="MyriadPro" w:hAnsi="MyriadPro"/>
          <w:sz w:val="12"/>
          <w:szCs w:val="12"/>
        </w:rPr>
        <w:t xml:space="preserve">Tegning: Martin </w:t>
      </w:r>
      <w:proofErr w:type="spellStart"/>
      <w:r>
        <w:rPr>
          <w:rFonts w:ascii="MyriadPro" w:hAnsi="MyriadPro"/>
          <w:sz w:val="12"/>
          <w:szCs w:val="12"/>
        </w:rPr>
        <w:t>Bassett</w:t>
      </w:r>
      <w:proofErr w:type="spellEnd"/>
      <w:r>
        <w:rPr>
          <w:rFonts w:ascii="MyriadPro" w:hAnsi="MyriadPro"/>
          <w:sz w:val="12"/>
          <w:szCs w:val="12"/>
        </w:rPr>
        <w:t xml:space="preserve"> </w:t>
      </w:r>
    </w:p>
    <w:p w14:paraId="1A863EEA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6"/>
          <w:szCs w:val="26"/>
        </w:rPr>
        <w:t xml:space="preserve">Teori </w:t>
      </w:r>
    </w:p>
    <w:p w14:paraId="2B2848D6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position w:val="-2"/>
          <w:sz w:val="32"/>
          <w:szCs w:val="32"/>
        </w:rPr>
        <w:t xml:space="preserve">• </w:t>
      </w:r>
      <w:r>
        <w:rPr>
          <w:rFonts w:ascii="MyriadPro" w:hAnsi="MyriadPro"/>
          <w:sz w:val="22"/>
          <w:szCs w:val="22"/>
        </w:rPr>
        <w:t>Forklar, hvad en kildebjergart er.</w:t>
      </w:r>
      <w:r>
        <w:rPr>
          <w:rFonts w:ascii="MyriadPro" w:hAnsi="MyriadPro"/>
          <w:sz w:val="22"/>
          <w:szCs w:val="22"/>
        </w:rPr>
        <w:br/>
      </w:r>
      <w:r>
        <w:rPr>
          <w:rFonts w:ascii="MyriadPro" w:hAnsi="MyriadPro"/>
          <w:b/>
          <w:bCs/>
          <w:color w:val="637A38"/>
          <w:position w:val="-2"/>
          <w:sz w:val="32"/>
          <w:szCs w:val="32"/>
        </w:rPr>
        <w:t xml:space="preserve">• </w:t>
      </w:r>
      <w:r>
        <w:rPr>
          <w:rFonts w:ascii="MyriadPro" w:hAnsi="MyriadPro"/>
          <w:sz w:val="22"/>
          <w:szCs w:val="22"/>
        </w:rPr>
        <w:t xml:space="preserve">Forklar, hvad der </w:t>
      </w:r>
      <w:proofErr w:type="spellStart"/>
      <w:r>
        <w:rPr>
          <w:rFonts w:ascii="MyriadPro" w:hAnsi="MyriadPro"/>
          <w:sz w:val="22"/>
          <w:szCs w:val="22"/>
        </w:rPr>
        <w:t>forstås</w:t>
      </w:r>
      <w:proofErr w:type="spellEnd"/>
      <w:r>
        <w:rPr>
          <w:rFonts w:ascii="MyriadPro" w:hAnsi="MyriadPro"/>
          <w:sz w:val="22"/>
          <w:szCs w:val="22"/>
        </w:rPr>
        <w:t xml:space="preserve"> ved permeable lag og impermeable lag.</w:t>
      </w:r>
      <w:r>
        <w:rPr>
          <w:rFonts w:ascii="MyriadPro" w:hAnsi="MyriadPro"/>
          <w:sz w:val="22"/>
          <w:szCs w:val="22"/>
        </w:rPr>
        <w:br/>
      </w:r>
      <w:r>
        <w:rPr>
          <w:rFonts w:ascii="MyriadPro" w:hAnsi="MyriadPro"/>
          <w:b/>
          <w:bCs/>
          <w:color w:val="637A38"/>
          <w:position w:val="-2"/>
          <w:sz w:val="32"/>
          <w:szCs w:val="32"/>
        </w:rPr>
        <w:t xml:space="preserve">• </w:t>
      </w:r>
      <w:r>
        <w:rPr>
          <w:rFonts w:ascii="MyriadPro" w:hAnsi="MyriadPro"/>
          <w:sz w:val="22"/>
          <w:szCs w:val="22"/>
        </w:rPr>
        <w:t>Gør rede for, hvad en oliefælde er.</w:t>
      </w:r>
      <w:r>
        <w:rPr>
          <w:rFonts w:ascii="MyriadPro" w:hAnsi="MyriadPro"/>
          <w:sz w:val="22"/>
          <w:szCs w:val="22"/>
        </w:rPr>
        <w:br/>
      </w:r>
      <w:r>
        <w:rPr>
          <w:rFonts w:ascii="MyriadPro" w:hAnsi="MyriadPro"/>
          <w:b/>
          <w:bCs/>
          <w:color w:val="637A38"/>
          <w:position w:val="-2"/>
          <w:sz w:val="32"/>
          <w:szCs w:val="32"/>
        </w:rPr>
        <w:t xml:space="preserve">• </w:t>
      </w:r>
      <w:r>
        <w:rPr>
          <w:rFonts w:ascii="MyriadPro" w:hAnsi="MyriadPro"/>
          <w:sz w:val="22"/>
          <w:szCs w:val="22"/>
        </w:rPr>
        <w:t xml:space="preserve">Giv en grundig redegørelse for, hvor og hvordan olie og gas dannes. </w:t>
      </w:r>
      <w:r>
        <w:rPr>
          <w:rFonts w:ascii="MyriadPro" w:hAnsi="MyriadPro"/>
          <w:b/>
          <w:bCs/>
          <w:color w:val="637A38"/>
          <w:position w:val="-2"/>
          <w:sz w:val="32"/>
          <w:szCs w:val="32"/>
        </w:rPr>
        <w:t xml:space="preserve">• </w:t>
      </w:r>
      <w:r>
        <w:rPr>
          <w:rFonts w:ascii="MyriadPro" w:hAnsi="MyriadPro"/>
          <w:sz w:val="22"/>
          <w:szCs w:val="22"/>
        </w:rPr>
        <w:t xml:space="preserve">Inddrag gerne en figur, der kan illustrere jeres beskrivelser ovenfor. </w:t>
      </w:r>
    </w:p>
    <w:p w14:paraId="437F0B90" w14:textId="77777777" w:rsidR="0084518D" w:rsidRDefault="0084518D" w:rsidP="0084518D">
      <w:pPr>
        <w:pStyle w:val="NormalWeb"/>
      </w:pPr>
      <w:r>
        <w:rPr>
          <w:rFonts w:ascii="MyriadPro" w:hAnsi="MyriadPro"/>
          <w:sz w:val="22"/>
          <w:szCs w:val="22"/>
        </w:rPr>
        <w:t xml:space="preserve">På hvilken </w:t>
      </w:r>
      <w:proofErr w:type="spellStart"/>
      <w:r>
        <w:rPr>
          <w:rFonts w:ascii="MyriadPro" w:hAnsi="MyriadPro"/>
          <w:sz w:val="22"/>
          <w:szCs w:val="22"/>
        </w:rPr>
        <w:t>måde</w:t>
      </w:r>
      <w:proofErr w:type="spellEnd"/>
      <w:r>
        <w:rPr>
          <w:rFonts w:ascii="MyriadPro" w:hAnsi="MyriadPro"/>
          <w:sz w:val="22"/>
          <w:szCs w:val="22"/>
        </w:rPr>
        <w:t xml:space="preserve"> forventer I, at henholdsvis olien under sandlaget og vandet over sandlaget vil bevæge sig? Og hvordan vil et lerlag </w:t>
      </w:r>
      <w:proofErr w:type="spellStart"/>
      <w:r>
        <w:rPr>
          <w:rFonts w:ascii="MyriadPro" w:hAnsi="MyriadPro"/>
          <w:sz w:val="22"/>
          <w:szCs w:val="22"/>
        </w:rPr>
        <w:t>påvirke</w:t>
      </w:r>
      <w:proofErr w:type="spellEnd"/>
      <w:r>
        <w:rPr>
          <w:rFonts w:ascii="MyriadPro" w:hAnsi="MyriadPro"/>
          <w:sz w:val="22"/>
          <w:szCs w:val="22"/>
        </w:rPr>
        <w:t xml:space="preserve"> oliens migration? Begrund hypotesen. </w:t>
      </w:r>
    </w:p>
    <w:p w14:paraId="7BEB7AA3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6"/>
          <w:szCs w:val="26"/>
        </w:rPr>
        <w:t xml:space="preserve">Hypotese </w:t>
      </w:r>
    </w:p>
    <w:p w14:paraId="13CCAB90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6"/>
          <w:szCs w:val="26"/>
        </w:rPr>
        <w:t xml:space="preserve">Materialer </w:t>
      </w:r>
      <w:r>
        <w:rPr>
          <w:rFonts w:ascii="MyriadPro" w:hAnsi="MyriadPro"/>
          <w:sz w:val="22"/>
          <w:szCs w:val="22"/>
        </w:rPr>
        <w:t>Sand</w:t>
      </w:r>
      <w:r>
        <w:rPr>
          <w:rFonts w:ascii="MyriadPro" w:hAnsi="MyriadPro"/>
          <w:sz w:val="22"/>
          <w:szCs w:val="22"/>
        </w:rPr>
        <w:br/>
        <w:t xml:space="preserve">Bægerglas eller plastbæger </w:t>
      </w:r>
    </w:p>
    <w:p w14:paraId="2DDE7FF7" w14:textId="77777777" w:rsidR="0084518D" w:rsidRDefault="0084518D" w:rsidP="0084518D">
      <w:pPr>
        <w:pStyle w:val="NormalWeb"/>
      </w:pPr>
      <w:proofErr w:type="spellStart"/>
      <w:r>
        <w:rPr>
          <w:rFonts w:ascii="MyriadPro" w:hAnsi="MyriadPro"/>
          <w:b/>
          <w:bCs/>
          <w:color w:val="637A38"/>
          <w:sz w:val="26"/>
          <w:szCs w:val="26"/>
        </w:rPr>
        <w:t>Fremgangsmåde</w:t>
      </w:r>
      <w:proofErr w:type="spellEnd"/>
      <w:r>
        <w:rPr>
          <w:rFonts w:ascii="MyriadPro" w:hAnsi="MyriadPro"/>
          <w:b/>
          <w:bCs/>
          <w:color w:val="637A38"/>
          <w:sz w:val="26"/>
          <w:szCs w:val="26"/>
        </w:rPr>
        <w:t xml:space="preserve"> </w:t>
      </w:r>
    </w:p>
    <w:p w14:paraId="4BDFF99A" w14:textId="77777777" w:rsidR="0084518D" w:rsidRDefault="0084518D" w:rsidP="0084518D">
      <w:pPr>
        <w:pStyle w:val="NormalWeb"/>
      </w:pPr>
      <w:r>
        <w:rPr>
          <w:rFonts w:ascii="MyriadPro" w:hAnsi="MyriadPro"/>
          <w:sz w:val="22"/>
          <w:szCs w:val="22"/>
        </w:rPr>
        <w:t>Vand</w:t>
      </w:r>
      <w:r>
        <w:rPr>
          <w:rFonts w:ascii="MyriadPro" w:hAnsi="MyriadPro"/>
          <w:sz w:val="22"/>
          <w:szCs w:val="22"/>
        </w:rPr>
        <w:br/>
        <w:t xml:space="preserve">Madolie der tilsættes kulør samt lidt opvaskemiddel og blandes Ler </w:t>
      </w:r>
    </w:p>
    <w:p w14:paraId="6A775EBC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2"/>
          <w:szCs w:val="22"/>
        </w:rPr>
        <w:t xml:space="preserve">1. </w:t>
      </w:r>
      <w:r>
        <w:rPr>
          <w:rFonts w:ascii="MyriadPro" w:hAnsi="MyriadPro"/>
          <w:sz w:val="22"/>
          <w:szCs w:val="22"/>
        </w:rPr>
        <w:t>Hæld 1-2 cm olie i et glas.</w:t>
      </w:r>
      <w:r>
        <w:rPr>
          <w:rFonts w:ascii="MyriadPro" w:hAnsi="MyriadPro"/>
          <w:sz w:val="22"/>
          <w:szCs w:val="22"/>
        </w:rPr>
        <w:br/>
      </w:r>
      <w:r>
        <w:rPr>
          <w:rFonts w:ascii="MyriadPro" w:hAnsi="MyriadPro"/>
          <w:b/>
          <w:bCs/>
          <w:color w:val="637A38"/>
          <w:sz w:val="22"/>
          <w:szCs w:val="22"/>
        </w:rPr>
        <w:t xml:space="preserve">2. </w:t>
      </w:r>
      <w:r>
        <w:rPr>
          <w:rFonts w:ascii="MyriadPro" w:hAnsi="MyriadPro"/>
          <w:sz w:val="22"/>
          <w:szCs w:val="22"/>
        </w:rPr>
        <w:t xml:space="preserve">Hæld dernæst sand oveni, </w:t>
      </w:r>
      <w:proofErr w:type="spellStart"/>
      <w:r>
        <w:rPr>
          <w:rFonts w:ascii="MyriadPro" w:hAnsi="MyriadPro"/>
          <w:sz w:val="22"/>
          <w:szCs w:val="22"/>
        </w:rPr>
        <w:t>sa</w:t>
      </w:r>
      <w:proofErr w:type="spellEnd"/>
      <w:r>
        <w:rPr>
          <w:rFonts w:ascii="MyriadPro" w:hAnsi="MyriadPro"/>
          <w:sz w:val="22"/>
          <w:szCs w:val="22"/>
        </w:rPr>
        <w:t xml:space="preserve">̊ olien bliver dækket og </w:t>
      </w:r>
    </w:p>
    <w:p w14:paraId="007A51AE" w14:textId="77777777" w:rsidR="0084518D" w:rsidRDefault="0084518D" w:rsidP="0084518D">
      <w:pPr>
        <w:pStyle w:val="NormalWeb"/>
      </w:pPr>
      <w:r>
        <w:rPr>
          <w:rFonts w:ascii="MyriadPro" w:hAnsi="MyriadPro"/>
          <w:sz w:val="22"/>
          <w:szCs w:val="22"/>
        </w:rPr>
        <w:t>der er et ”rent” sandlag.</w:t>
      </w:r>
      <w:r>
        <w:rPr>
          <w:rFonts w:ascii="MyriadPro" w:hAnsi="MyriadPro"/>
          <w:sz w:val="22"/>
          <w:szCs w:val="22"/>
        </w:rPr>
        <w:br/>
      </w:r>
      <w:r>
        <w:rPr>
          <w:rFonts w:ascii="MyriadPro" w:hAnsi="MyriadPro"/>
          <w:b/>
          <w:bCs/>
          <w:color w:val="637A38"/>
          <w:sz w:val="22"/>
          <w:szCs w:val="22"/>
        </w:rPr>
        <w:t xml:space="preserve">3. </w:t>
      </w:r>
      <w:r>
        <w:rPr>
          <w:rFonts w:ascii="MyriadPro" w:hAnsi="MyriadPro"/>
          <w:sz w:val="22"/>
          <w:szCs w:val="22"/>
        </w:rPr>
        <w:t>Afslutningsvist hældes forsigtigt 2-3 cm vand i glasset.</w:t>
      </w:r>
      <w:r>
        <w:rPr>
          <w:rFonts w:ascii="MyriadPro" w:hAnsi="MyriadPro"/>
          <w:sz w:val="22"/>
          <w:szCs w:val="22"/>
        </w:rPr>
        <w:br/>
      </w:r>
      <w:r>
        <w:rPr>
          <w:rFonts w:ascii="MyriadPro" w:hAnsi="MyriadPro"/>
          <w:b/>
          <w:bCs/>
          <w:color w:val="637A38"/>
          <w:sz w:val="22"/>
          <w:szCs w:val="22"/>
        </w:rPr>
        <w:t xml:space="preserve">4. </w:t>
      </w:r>
      <w:r>
        <w:rPr>
          <w:rFonts w:ascii="MyriadPro" w:hAnsi="MyriadPro"/>
          <w:sz w:val="22"/>
          <w:szCs w:val="22"/>
        </w:rPr>
        <w:t xml:space="preserve">Lad olien </w:t>
      </w:r>
      <w:proofErr w:type="spellStart"/>
      <w:r>
        <w:rPr>
          <w:rFonts w:ascii="MyriadPro" w:hAnsi="MyriadPro"/>
          <w:sz w:val="22"/>
          <w:szCs w:val="22"/>
        </w:rPr>
        <w:t>sta</w:t>
      </w:r>
      <w:proofErr w:type="spellEnd"/>
      <w:r>
        <w:rPr>
          <w:rFonts w:ascii="MyriadPro" w:hAnsi="MyriadPro"/>
          <w:sz w:val="22"/>
          <w:szCs w:val="22"/>
        </w:rPr>
        <w:t>̊ 20-30 minutter og observer imens.</w:t>
      </w:r>
      <w:r>
        <w:rPr>
          <w:rFonts w:ascii="MyriadPro" w:hAnsi="MyriadPro"/>
          <w:sz w:val="22"/>
          <w:szCs w:val="22"/>
        </w:rPr>
        <w:br/>
      </w:r>
      <w:r>
        <w:rPr>
          <w:rFonts w:ascii="MyriadPro" w:hAnsi="MyriadPro"/>
          <w:b/>
          <w:bCs/>
          <w:color w:val="637A38"/>
          <w:sz w:val="22"/>
          <w:szCs w:val="22"/>
        </w:rPr>
        <w:lastRenderedPageBreak/>
        <w:t xml:space="preserve">5. </w:t>
      </w:r>
      <w:r>
        <w:rPr>
          <w:rFonts w:ascii="MyriadPro" w:hAnsi="MyriadPro"/>
          <w:sz w:val="22"/>
          <w:szCs w:val="22"/>
        </w:rPr>
        <w:t xml:space="preserve">Lad prøven </w:t>
      </w:r>
      <w:proofErr w:type="spellStart"/>
      <w:r>
        <w:rPr>
          <w:rFonts w:ascii="MyriadPro" w:hAnsi="MyriadPro"/>
          <w:sz w:val="22"/>
          <w:szCs w:val="22"/>
        </w:rPr>
        <w:t>sta</w:t>
      </w:r>
      <w:proofErr w:type="spellEnd"/>
      <w:r>
        <w:rPr>
          <w:rFonts w:ascii="MyriadPro" w:hAnsi="MyriadPro"/>
          <w:sz w:val="22"/>
          <w:szCs w:val="22"/>
        </w:rPr>
        <w:t xml:space="preserve">̊ til næste modul og se, om der er migreret mere olie. </w:t>
      </w:r>
      <w:r>
        <w:rPr>
          <w:rFonts w:ascii="MyriadPro" w:hAnsi="MyriadPro"/>
          <w:b/>
          <w:bCs/>
          <w:color w:val="637A38"/>
          <w:sz w:val="22"/>
          <w:szCs w:val="22"/>
        </w:rPr>
        <w:t xml:space="preserve">6. </w:t>
      </w:r>
      <w:r>
        <w:rPr>
          <w:rFonts w:ascii="MyriadPro" w:hAnsi="MyriadPro"/>
          <w:sz w:val="22"/>
          <w:szCs w:val="22"/>
        </w:rPr>
        <w:t xml:space="preserve">Vis i et nyt forsøg, hvordan en oliefælde fungerer. </w:t>
      </w:r>
    </w:p>
    <w:p w14:paraId="6F9C2B98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2"/>
          <w:szCs w:val="22"/>
        </w:rPr>
        <w:t xml:space="preserve">a. </w:t>
      </w:r>
      <w:r>
        <w:rPr>
          <w:rFonts w:ascii="MyriadPro" w:hAnsi="MyriadPro"/>
          <w:sz w:val="22"/>
          <w:szCs w:val="22"/>
        </w:rPr>
        <w:t xml:space="preserve">Passede jeres hypotese? Hvis ikke må hypotesen revideres. Giv kritik af forsøgene. </w:t>
      </w:r>
    </w:p>
    <w:p w14:paraId="55414694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2"/>
          <w:szCs w:val="22"/>
        </w:rPr>
        <w:t xml:space="preserve">b. </w:t>
      </w:r>
      <w:r>
        <w:rPr>
          <w:rFonts w:ascii="MyriadPro" w:hAnsi="MyriadPro"/>
          <w:sz w:val="22"/>
          <w:szCs w:val="22"/>
        </w:rPr>
        <w:t xml:space="preserve">Forklar hvordan forsøget kan vise forskellen på vand og olies densitet. </w:t>
      </w:r>
    </w:p>
    <w:p w14:paraId="443D7169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2"/>
          <w:szCs w:val="22"/>
        </w:rPr>
        <w:t xml:space="preserve">c. </w:t>
      </w:r>
      <w:r>
        <w:rPr>
          <w:rFonts w:ascii="MyriadPro" w:hAnsi="MyriadPro"/>
          <w:sz w:val="22"/>
          <w:szCs w:val="22"/>
        </w:rPr>
        <w:t xml:space="preserve">Madkulør blev tilsat olien dels for, at vi kan følge migrationen, og dels fordi det ser ud som </w:t>
      </w:r>
      <w:proofErr w:type="spellStart"/>
      <w:r>
        <w:rPr>
          <w:rFonts w:ascii="MyriadPro" w:hAnsi="MyriadPro"/>
          <w:sz w:val="22"/>
          <w:szCs w:val="22"/>
        </w:rPr>
        <w:t>råolie</w:t>
      </w:r>
      <w:proofErr w:type="spellEnd"/>
      <w:r>
        <w:rPr>
          <w:rFonts w:ascii="MyriadPro" w:hAnsi="MyriadPro"/>
          <w:sz w:val="22"/>
          <w:szCs w:val="22"/>
        </w:rPr>
        <w:t xml:space="preserve">, der dog er noget tykkere. Forklar hvad sker der med madkuløren, </w:t>
      </w:r>
      <w:proofErr w:type="spellStart"/>
      <w:r>
        <w:rPr>
          <w:rFonts w:ascii="MyriadPro" w:hAnsi="MyriadPro"/>
          <w:sz w:val="22"/>
          <w:szCs w:val="22"/>
        </w:rPr>
        <w:t>når</w:t>
      </w:r>
      <w:proofErr w:type="spellEnd"/>
      <w:r>
        <w:rPr>
          <w:rFonts w:ascii="MyriadPro" w:hAnsi="MyriadPro"/>
          <w:sz w:val="22"/>
          <w:szCs w:val="22"/>
        </w:rPr>
        <w:t xml:space="preserve"> olien migrerer,</w:t>
      </w:r>
      <w:r>
        <w:rPr>
          <w:rFonts w:ascii="MyriadPro" w:hAnsi="MyriadPro"/>
          <w:sz w:val="22"/>
          <w:szCs w:val="22"/>
        </w:rPr>
        <w:br/>
        <w:t xml:space="preserve">og forklar hvorfor det sker. </w:t>
      </w:r>
    </w:p>
    <w:p w14:paraId="0434943A" w14:textId="77777777" w:rsidR="0084518D" w:rsidRDefault="0084518D" w:rsidP="0084518D">
      <w:pPr>
        <w:pStyle w:val="NormalWeb"/>
      </w:pPr>
      <w:r>
        <w:rPr>
          <w:rFonts w:ascii="MyriadPro" w:hAnsi="MyriadPro"/>
          <w:b/>
          <w:bCs/>
          <w:color w:val="637A38"/>
          <w:sz w:val="26"/>
          <w:szCs w:val="26"/>
        </w:rPr>
        <w:t xml:space="preserve">Diskussion og perspektivering </w:t>
      </w:r>
    </w:p>
    <w:p w14:paraId="702728B1" w14:textId="77777777" w:rsidR="0084518D" w:rsidRDefault="0084518D" w:rsidP="0084518D">
      <w:pPr>
        <w:pStyle w:val="NormalWeb"/>
      </w:pPr>
      <w:r>
        <w:rPr>
          <w:rFonts w:ascii="MyriadPro" w:hAnsi="MyriadPro"/>
          <w:sz w:val="16"/>
          <w:szCs w:val="16"/>
        </w:rPr>
        <w:t>Olies migration i sand</w:t>
      </w:r>
      <w:r>
        <w:rPr>
          <w:rFonts w:ascii="MyriadPro" w:hAnsi="MyriadPro"/>
          <w:sz w:val="16"/>
          <w:szCs w:val="16"/>
        </w:rPr>
        <w:br/>
        <w:t xml:space="preserve">Naturgeografiportalen: www.naturgeografiportalen.systime.dk ©Systime </w:t>
      </w:r>
    </w:p>
    <w:p w14:paraId="29511446" w14:textId="77777777" w:rsidR="0084518D" w:rsidRDefault="0084518D" w:rsidP="0084518D">
      <w:pPr>
        <w:pStyle w:val="NormalWeb"/>
      </w:pPr>
      <w:r>
        <w:rPr>
          <w:rFonts w:ascii="MyriadPro" w:hAnsi="MyriadPro"/>
          <w:sz w:val="22"/>
          <w:szCs w:val="22"/>
        </w:rPr>
        <w:t xml:space="preserve">2/2 </w:t>
      </w:r>
    </w:p>
    <w:p w14:paraId="0CC3EBCB" w14:textId="77777777" w:rsidR="0084518D" w:rsidRDefault="0084518D"/>
    <w:sectPr w:rsidR="0084518D" w:rsidSect="009D480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11518"/>
    <w:multiLevelType w:val="multilevel"/>
    <w:tmpl w:val="E61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8D"/>
    <w:rsid w:val="001261E6"/>
    <w:rsid w:val="001A34E3"/>
    <w:rsid w:val="001D5247"/>
    <w:rsid w:val="004B7D80"/>
    <w:rsid w:val="00710CA0"/>
    <w:rsid w:val="0084518D"/>
    <w:rsid w:val="00974D5B"/>
    <w:rsid w:val="009D4801"/>
    <w:rsid w:val="009E2614"/>
    <w:rsid w:val="00AC4AE8"/>
    <w:rsid w:val="00B02B1A"/>
    <w:rsid w:val="00BB6038"/>
    <w:rsid w:val="00D40AA1"/>
    <w:rsid w:val="00E44C5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C724A"/>
  <w15:chartTrackingRefBased/>
  <w15:docId w15:val="{DDD437A4-8B07-864F-82BF-BE2DE8C8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1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1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1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1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1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1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51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518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518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51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51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51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51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51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51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5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5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51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51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518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518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518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51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2025-01-17T08:17:00Z</dcterms:created>
  <dcterms:modified xsi:type="dcterms:W3CDTF">2025-01-17T08:17:00Z</dcterms:modified>
</cp:coreProperties>
</file>