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69A8" w14:textId="4105E53E" w:rsidR="00B012C3" w:rsidRPr="00CF3EFA" w:rsidRDefault="00B012C3" w:rsidP="00CF3EF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F3EFA">
        <w:rPr>
          <w:rFonts w:asciiTheme="majorBidi" w:hAnsiTheme="majorBidi" w:cstheme="majorBidi"/>
          <w:b/>
          <w:bCs/>
          <w:sz w:val="28"/>
          <w:szCs w:val="28"/>
        </w:rPr>
        <w:t xml:space="preserve">Jernindholdet i ståluld – beregninger </w:t>
      </w:r>
    </w:p>
    <w:tbl>
      <w:tblPr>
        <w:tblStyle w:val="TableGrid"/>
        <w:tblW w:w="6962" w:type="dxa"/>
        <w:tblInd w:w="-108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80"/>
        <w:gridCol w:w="3482"/>
      </w:tblGrid>
      <w:tr w:rsidR="00B012C3" w:rsidRPr="00CF3EFA" w14:paraId="2EA5C27A" w14:textId="77777777" w:rsidTr="009468DA">
        <w:trPr>
          <w:trHeight w:val="47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4173" w14:textId="77777777" w:rsidR="00B012C3" w:rsidRPr="00CF3EFA" w:rsidRDefault="00B012C3" w:rsidP="009468DA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B671" w14:textId="77777777" w:rsidR="00B012C3" w:rsidRPr="00CF3EFA" w:rsidRDefault="00B012C3" w:rsidP="009468DA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CF3EFA">
              <w:rPr>
                <w:rFonts w:asciiTheme="majorBidi" w:hAnsiTheme="majorBidi" w:cstheme="majorBidi"/>
                <w:sz w:val="22"/>
                <w:szCs w:val="22"/>
              </w:rPr>
              <w:t>Resultater fra</w:t>
            </w:r>
            <w:r w:rsidRPr="00CF3EFA">
              <w:rPr>
                <w:rFonts w:asciiTheme="majorBidi" w:eastAsia="Arial" w:hAnsiTheme="majorBidi" w:cstheme="majorBidi"/>
                <w:sz w:val="22"/>
                <w:szCs w:val="22"/>
              </w:rPr>
              <w:t xml:space="preserve"> </w:t>
            </w:r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forsøg </w:t>
            </w:r>
          </w:p>
        </w:tc>
      </w:tr>
      <w:tr w:rsidR="00B012C3" w:rsidRPr="00CF3EFA" w14:paraId="16D89B83" w14:textId="77777777" w:rsidTr="009468DA">
        <w:trPr>
          <w:trHeight w:val="47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895B" w14:textId="77777777" w:rsidR="00B012C3" w:rsidRPr="00CF3EFA" w:rsidRDefault="00B012C3" w:rsidP="009468DA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Masse af ståluld, (mg)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2307" w14:textId="749184F5" w:rsidR="00B012C3" w:rsidRPr="00CF3EFA" w:rsidRDefault="00B012C3" w:rsidP="009468DA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CF3EFA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CF3EFA" w:rsidRPr="00CF3EFA">
              <w:rPr>
                <w:rFonts w:asciiTheme="majorBidi" w:hAnsiTheme="majorBidi" w:cstheme="majorBidi"/>
                <w:sz w:val="22"/>
                <w:szCs w:val="22"/>
              </w:rPr>
              <w:t>09</w:t>
            </w:r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 mg </w:t>
            </w:r>
          </w:p>
        </w:tc>
      </w:tr>
      <w:tr w:rsidR="00B012C3" w:rsidRPr="00CF3EFA" w14:paraId="560A317B" w14:textId="77777777" w:rsidTr="009468DA">
        <w:trPr>
          <w:trHeight w:val="93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D83" w14:textId="77777777" w:rsidR="00B012C3" w:rsidRPr="00CF3EFA" w:rsidRDefault="00B012C3" w:rsidP="009468DA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Volumen </w:t>
            </w:r>
          </w:p>
          <w:p w14:paraId="4357218D" w14:textId="77777777" w:rsidR="00B012C3" w:rsidRPr="00CF3EFA" w:rsidRDefault="00B012C3" w:rsidP="009468DA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kaliumpermanganat, </w:t>
            </w:r>
            <w:proofErr w:type="spellStart"/>
            <w:r w:rsidRPr="00CF3EFA">
              <w:rPr>
                <w:rFonts w:asciiTheme="majorBidi" w:hAnsiTheme="majorBidi" w:cstheme="majorBidi"/>
                <w:sz w:val="22"/>
                <w:szCs w:val="22"/>
              </w:rPr>
              <w:t>mL</w:t>
            </w:r>
            <w:proofErr w:type="spellEnd"/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0973" w14:textId="39150A84" w:rsidR="00B012C3" w:rsidRPr="00CF3EFA" w:rsidRDefault="00B012C3" w:rsidP="009468DA">
            <w:pPr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19,1 </w:t>
            </w:r>
            <w:proofErr w:type="spellStart"/>
            <w:r w:rsidRPr="00CF3EFA">
              <w:rPr>
                <w:rFonts w:asciiTheme="majorBidi" w:hAnsiTheme="majorBidi" w:cstheme="majorBidi"/>
                <w:sz w:val="22"/>
                <w:szCs w:val="22"/>
              </w:rPr>
              <w:t>mL</w:t>
            </w:r>
            <w:proofErr w:type="spellEnd"/>
            <w:r w:rsidRPr="00CF3EF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60191812" w14:textId="77777777" w:rsidR="00B012C3" w:rsidRPr="00CF3EFA" w:rsidRDefault="00B012C3" w:rsidP="00B012C3">
      <w:pPr>
        <w:spacing w:after="120" w:line="240" w:lineRule="auto"/>
        <w:rPr>
          <w:rFonts w:asciiTheme="majorBidi" w:hAnsiTheme="majorBidi" w:cstheme="majorBidi"/>
          <w:sz w:val="22"/>
          <w:szCs w:val="22"/>
        </w:rPr>
      </w:pPr>
      <w:r w:rsidRPr="00CF3EFA">
        <w:rPr>
          <w:rFonts w:asciiTheme="majorBidi" w:hAnsiTheme="majorBidi" w:cstheme="majorBidi"/>
          <w:sz w:val="22"/>
          <w:szCs w:val="22"/>
        </w:rPr>
        <w:t xml:space="preserve"> </w:t>
      </w:r>
    </w:p>
    <w:p w14:paraId="5F90199F" w14:textId="08CA9469" w:rsidR="00B012C3" w:rsidRPr="00CF3EFA" w:rsidRDefault="00B012C3" w:rsidP="00B012C3">
      <w:pPr>
        <w:rPr>
          <w:rFonts w:asciiTheme="majorBidi" w:hAnsiTheme="majorBidi" w:cstheme="majorBidi"/>
          <w:sz w:val="22"/>
          <w:szCs w:val="22"/>
        </w:rPr>
      </w:pPr>
      <w:r w:rsidRPr="00CF3EFA">
        <w:rPr>
          <w:rFonts w:asciiTheme="majorBidi" w:hAnsiTheme="majorBidi" w:cstheme="majorBidi"/>
          <w:sz w:val="22"/>
          <w:szCs w:val="22"/>
        </w:rPr>
        <w:t xml:space="preserve">Når vi skal bestemme masseprocenten af jern i </w:t>
      </w:r>
      <w:r w:rsidR="002C040B" w:rsidRPr="00CF3EFA">
        <w:rPr>
          <w:rFonts w:asciiTheme="majorBidi" w:hAnsiTheme="majorBidi" w:cstheme="majorBidi"/>
          <w:sz w:val="22"/>
          <w:szCs w:val="22"/>
        </w:rPr>
        <w:t>stålulden,</w:t>
      </w:r>
      <w:r w:rsidRPr="00CF3EFA">
        <w:rPr>
          <w:rFonts w:asciiTheme="majorBidi" w:hAnsiTheme="majorBidi" w:cstheme="majorBidi"/>
          <w:sz w:val="22"/>
          <w:szCs w:val="22"/>
        </w:rPr>
        <w:t xml:space="preserve"> skal vi først beregne stofmængden af tilsat kaliumpermanganat i ækvivalenspunktet. Det gøres ved følgende formel</w:t>
      </w:r>
    </w:p>
    <w:p w14:paraId="5B222C48" w14:textId="013C95E6" w:rsidR="00B012C3" w:rsidRPr="00CF3EFA" w:rsidRDefault="002C040B" w:rsidP="00B012C3">
      <w:pPr>
        <w:rPr>
          <w:rFonts w:asciiTheme="majorBidi" w:hAnsiTheme="majorBidi" w:cstheme="majorBidi"/>
          <w:iCs/>
          <w:sz w:val="22"/>
          <w:szCs w:val="22"/>
        </w:rPr>
      </w:pPr>
      <m:oMathPara>
        <m:oMath>
          <m:r>
            <w:rPr>
              <w:rFonts w:ascii="Cambria Math" w:hAnsi="Cambria Math" w:cstheme="majorBidi"/>
              <w:sz w:val="22"/>
              <w:szCs w:val="22"/>
            </w:rPr>
            <m:t>n</m:t>
          </m:r>
          <m:d>
            <m:d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=</m:t>
          </m:r>
          <m:r>
            <w:rPr>
              <w:rFonts w:ascii="Cambria Math" w:hAnsi="Cambria Math" w:cstheme="majorBidi"/>
              <w:sz w:val="22"/>
              <w:szCs w:val="22"/>
            </w:rPr>
            <m:t>c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(</m:t>
          </m:r>
          <m:sSub>
            <m:sSub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KMnO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)∙</m:t>
          </m:r>
          <m:r>
            <w:rPr>
              <w:rFonts w:ascii="Cambria Math" w:hAnsi="Cambria Math" w:cstheme="majorBidi"/>
              <w:sz w:val="22"/>
              <w:szCs w:val="22"/>
            </w:rPr>
            <m:t>V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(</m:t>
          </m:r>
          <m:sSub>
            <m:sSub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KMnO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)</m:t>
          </m:r>
        </m:oMath>
      </m:oMathPara>
    </w:p>
    <w:p w14:paraId="5330C39F" w14:textId="44DCA79B" w:rsidR="00B012C3" w:rsidRPr="00CF3EFA" w:rsidRDefault="00B012C3" w:rsidP="00B012C3">
      <w:pPr>
        <w:rPr>
          <w:rFonts w:asciiTheme="majorBidi" w:hAnsiTheme="majorBidi" w:cstheme="majorBidi"/>
          <w:sz w:val="22"/>
          <w:szCs w:val="22"/>
        </w:rPr>
      </w:pPr>
      <w:r w:rsidRPr="00CF3EFA">
        <w:rPr>
          <w:rFonts w:asciiTheme="majorBidi" w:hAnsiTheme="majorBidi" w:cstheme="majorBidi"/>
          <w:sz w:val="22"/>
          <w:szCs w:val="22"/>
        </w:rPr>
        <w:t xml:space="preserve">Vi kender </w:t>
      </w:r>
      <m:oMath>
        <m:r>
          <w:rPr>
            <w:rFonts w:ascii="Cambria Math" w:hAnsi="Cambria Math" w:cstheme="majorBidi"/>
            <w:sz w:val="22"/>
            <w:szCs w:val="22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2"/>
                    <w:szCs w:val="22"/>
                  </w:rPr>
                  <m:t>KMnO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2"/>
                    <w:szCs w:val="22"/>
                  </w:rPr>
                  <m:t>4</m:t>
                </m:r>
              </m:sub>
            </m:sSub>
          </m:e>
        </m:d>
      </m:oMath>
      <w:r w:rsidRPr="00CF3EFA">
        <w:rPr>
          <w:rFonts w:asciiTheme="majorBidi" w:hAnsiTheme="majorBidi" w:cstheme="majorBidi"/>
          <w:sz w:val="22"/>
          <w:szCs w:val="22"/>
        </w:rPr>
        <w:t xml:space="preserve"> fra det der står på flasken som er 0,00200 M. </w:t>
      </w:r>
      <w:proofErr w:type="spellStart"/>
      <w:r w:rsidRPr="00CF3EFA">
        <w:rPr>
          <w:rFonts w:asciiTheme="majorBidi" w:hAnsiTheme="majorBidi" w:cstheme="majorBidi"/>
          <w:sz w:val="22"/>
          <w:szCs w:val="22"/>
        </w:rPr>
        <w:t>Volumnet</w:t>
      </w:r>
      <w:proofErr w:type="spellEnd"/>
      <w:r w:rsidRPr="00CF3EFA">
        <w:rPr>
          <w:rFonts w:asciiTheme="majorBidi" w:hAnsiTheme="majorBidi" w:cstheme="majorBidi"/>
          <w:sz w:val="22"/>
          <w:szCs w:val="22"/>
        </w:rPr>
        <w:t xml:space="preserve"> er det vi har aflæst på buretten. Dette volumen skal dog først laves om til liter ved at dividere med 1000 </w:t>
      </w:r>
      <w:proofErr w:type="spellStart"/>
      <w:r w:rsidRPr="00CF3EFA">
        <w:rPr>
          <w:rFonts w:asciiTheme="majorBidi" w:hAnsiTheme="majorBidi" w:cstheme="majorBidi"/>
          <w:sz w:val="22"/>
          <w:szCs w:val="22"/>
        </w:rPr>
        <w:t>mL</w:t>
      </w:r>
      <w:proofErr w:type="spellEnd"/>
      <w:r w:rsidRPr="00CF3EFA">
        <w:rPr>
          <w:rFonts w:asciiTheme="majorBidi" w:hAnsiTheme="majorBidi" w:cstheme="majorBidi"/>
          <w:sz w:val="22"/>
          <w:szCs w:val="22"/>
        </w:rPr>
        <w:t xml:space="preserve">/L. Vi kan nu sætte ind i formlen </w:t>
      </w:r>
    </w:p>
    <w:p w14:paraId="0DBFCA9D" w14:textId="64DD10CB" w:rsidR="00B012C3" w:rsidRPr="00CF3EFA" w:rsidRDefault="002C040B" w:rsidP="002C040B">
      <w:pPr>
        <w:jc w:val="center"/>
        <w:rPr>
          <w:rFonts w:asciiTheme="majorBidi" w:hAnsiTheme="majorBidi" w:cstheme="majorBidi"/>
          <w:iCs/>
          <w:sz w:val="22"/>
          <w:szCs w:val="22"/>
        </w:rPr>
      </w:pPr>
      <m:oMathPara>
        <m:oMath>
          <m:r>
            <w:rPr>
              <w:rFonts w:ascii="Cambria Math" w:hAnsi="Cambria Math" w:cstheme="majorBidi"/>
              <w:sz w:val="22"/>
              <w:szCs w:val="22"/>
            </w:rPr>
            <m:t>n</m:t>
          </m:r>
          <m:d>
            <m:d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=0,0200 M∙0,0191 L=0,000382 mol</m:t>
          </m:r>
        </m:oMath>
      </m:oMathPara>
    </w:p>
    <w:p w14:paraId="74BD7DA2" w14:textId="5051BDBC" w:rsidR="002C040B" w:rsidRPr="00CF3EFA" w:rsidRDefault="002C040B" w:rsidP="002C040B">
      <w:pPr>
        <w:rPr>
          <w:rFonts w:asciiTheme="majorBidi" w:hAnsiTheme="majorBidi" w:cstheme="majorBidi"/>
          <w:iCs/>
          <w:sz w:val="22"/>
          <w:szCs w:val="22"/>
        </w:rPr>
      </w:pPr>
      <w:r w:rsidRPr="00CF3EFA">
        <w:rPr>
          <w:rFonts w:asciiTheme="majorBidi" w:hAnsiTheme="majorBidi" w:cstheme="majorBidi"/>
          <w:iCs/>
          <w:sz w:val="22"/>
          <w:szCs w:val="22"/>
        </w:rPr>
        <w:t xml:space="preserve">Vi kan nå finde stofmængden af </w:t>
      </w:r>
      <w:proofErr w:type="gramStart"/>
      <w:r w:rsidRPr="00CF3EFA">
        <w:rPr>
          <w:rFonts w:asciiTheme="majorBidi" w:hAnsiTheme="majorBidi" w:cstheme="majorBidi"/>
          <w:iCs/>
          <w:sz w:val="22"/>
          <w:szCs w:val="22"/>
        </w:rPr>
        <w:t>jern(</w:t>
      </w:r>
      <w:proofErr w:type="gramEnd"/>
      <w:r w:rsidRPr="00CF3EFA">
        <w:rPr>
          <w:rFonts w:asciiTheme="majorBidi" w:hAnsiTheme="majorBidi" w:cstheme="majorBidi"/>
          <w:iCs/>
          <w:sz w:val="22"/>
          <w:szCs w:val="22"/>
        </w:rPr>
        <w:t xml:space="preserve">2+)-ionen ved at se på koefficienterne i den afstemte reaktion. Vi ser her at forholdet er 1:5. Vi skal derfor gange stofmængden af kaliumpermanganat med 5 for at finde stofmængden af </w:t>
      </w:r>
      <w:proofErr w:type="gramStart"/>
      <w:r w:rsidRPr="00CF3EFA">
        <w:rPr>
          <w:rFonts w:asciiTheme="majorBidi" w:hAnsiTheme="majorBidi" w:cstheme="majorBidi"/>
          <w:iCs/>
          <w:sz w:val="22"/>
          <w:szCs w:val="22"/>
        </w:rPr>
        <w:t>jern(</w:t>
      </w:r>
      <w:proofErr w:type="gramEnd"/>
      <w:r w:rsidRPr="00CF3EFA">
        <w:rPr>
          <w:rFonts w:asciiTheme="majorBidi" w:hAnsiTheme="majorBidi" w:cstheme="majorBidi"/>
          <w:iCs/>
          <w:sz w:val="22"/>
          <w:szCs w:val="22"/>
        </w:rPr>
        <w:t>2+)</w:t>
      </w:r>
      <w:r w:rsidRPr="00CF3EFA">
        <w:rPr>
          <w:rFonts w:asciiTheme="majorBidi" w:hAnsiTheme="majorBidi" w:cstheme="majorBidi"/>
          <w:iCs/>
          <w:sz w:val="22"/>
          <w:szCs w:val="22"/>
        </w:rPr>
        <w:t>-</w:t>
      </w:r>
      <w:r w:rsidRPr="00CF3EFA">
        <w:rPr>
          <w:rFonts w:asciiTheme="majorBidi" w:hAnsiTheme="majorBidi" w:cstheme="majorBidi"/>
          <w:iCs/>
          <w:sz w:val="22"/>
          <w:szCs w:val="22"/>
        </w:rPr>
        <w:t>ionen</w:t>
      </w:r>
    </w:p>
    <w:p w14:paraId="501B6EAE" w14:textId="18FD691F" w:rsidR="002C040B" w:rsidRPr="00CF3EFA" w:rsidRDefault="002C040B" w:rsidP="002C040B">
      <w:pPr>
        <w:rPr>
          <w:rFonts w:asciiTheme="majorBidi" w:hAnsiTheme="majorBidi" w:cstheme="majorBidi"/>
          <w:iCs/>
          <w:sz w:val="22"/>
          <w:szCs w:val="22"/>
        </w:rPr>
      </w:pPr>
      <m:oMathPara>
        <m:oMath>
          <m:r>
            <w:rPr>
              <w:rFonts w:ascii="Cambria Math" w:hAnsi="Cambria Math" w:cstheme="majorBidi"/>
              <w:sz w:val="22"/>
              <w:szCs w:val="22"/>
            </w:rPr>
            <m:t>n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 w:cstheme="majorBidi"/>
              <w:sz w:val="22"/>
              <w:szCs w:val="22"/>
            </w:rPr>
            <m:t>=5∙n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4</m:t>
                  </m:r>
                </m:sub>
              </m:sSub>
            </m:e>
          </m:d>
        </m:oMath>
      </m:oMathPara>
    </w:p>
    <w:p w14:paraId="7B7B8EC1" w14:textId="5EBCB665" w:rsidR="002C040B" w:rsidRPr="00CF3EFA" w:rsidRDefault="002C040B" w:rsidP="002C040B">
      <w:pPr>
        <w:rPr>
          <w:rFonts w:asciiTheme="majorBidi" w:hAnsiTheme="majorBidi" w:cstheme="majorBidi"/>
          <w:sz w:val="22"/>
          <w:szCs w:val="22"/>
        </w:rPr>
      </w:pPr>
      <m:oMathPara>
        <m:oMath>
          <m:r>
            <w:rPr>
              <w:rFonts w:ascii="Cambria Math" w:hAnsi="Cambria Math" w:cstheme="majorBidi"/>
              <w:sz w:val="22"/>
              <w:szCs w:val="22"/>
            </w:rPr>
            <m:t>n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 w:cstheme="majorBidi"/>
              <w:sz w:val="22"/>
              <w:szCs w:val="22"/>
            </w:rPr>
            <m:t xml:space="preserve">=5∙0,000382 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mol</m:t>
          </m:r>
          <m:r>
            <w:rPr>
              <w:rFonts w:ascii="Cambria Math" w:hAnsi="Cambria Math" w:cstheme="majorBidi"/>
              <w:sz w:val="22"/>
              <w:szCs w:val="22"/>
            </w:rPr>
            <m:t xml:space="preserve">=0,00191 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mol</m:t>
          </m:r>
        </m:oMath>
      </m:oMathPara>
    </w:p>
    <w:p w14:paraId="5AA5C27D" w14:textId="1CB8A19F" w:rsidR="002C040B" w:rsidRPr="00CF3EFA" w:rsidRDefault="002C040B" w:rsidP="002C040B">
      <w:pPr>
        <w:rPr>
          <w:rFonts w:asciiTheme="majorBidi" w:hAnsiTheme="majorBidi" w:cstheme="majorBidi"/>
          <w:sz w:val="22"/>
          <w:szCs w:val="22"/>
        </w:rPr>
      </w:pPr>
      <w:r w:rsidRPr="00CF3EFA">
        <w:rPr>
          <w:rFonts w:asciiTheme="majorBidi" w:hAnsiTheme="majorBidi" w:cstheme="majorBidi"/>
          <w:sz w:val="22"/>
          <w:szCs w:val="22"/>
        </w:rPr>
        <w:t>For at finde stofmængden af Fe i stålulden se vi på reaktion 1 at forholdet mellem Fe og Fe</w:t>
      </w:r>
      <w:r w:rsidRPr="00CF3EFA">
        <w:rPr>
          <w:rFonts w:asciiTheme="majorBidi" w:hAnsiTheme="majorBidi" w:cstheme="majorBidi"/>
          <w:sz w:val="22"/>
          <w:szCs w:val="22"/>
          <w:vertAlign w:val="superscript"/>
        </w:rPr>
        <w:t xml:space="preserve">2+ </w:t>
      </w:r>
      <w:r w:rsidRPr="00CF3EFA">
        <w:rPr>
          <w:rFonts w:asciiTheme="majorBidi" w:hAnsiTheme="majorBidi" w:cstheme="majorBidi"/>
          <w:sz w:val="22"/>
          <w:szCs w:val="22"/>
        </w:rPr>
        <w:t>er 1:1</w:t>
      </w:r>
    </w:p>
    <w:p w14:paraId="2E6C58B3" w14:textId="77777777" w:rsidR="002C040B" w:rsidRPr="00CF3EFA" w:rsidRDefault="002C040B" w:rsidP="002C040B">
      <w:pPr>
        <w:rPr>
          <w:rFonts w:asciiTheme="majorBidi" w:hAnsiTheme="majorBidi" w:cstheme="majorBidi"/>
          <w:sz w:val="22"/>
          <w:szCs w:val="22"/>
        </w:rPr>
      </w:pPr>
      <w:r w:rsidRPr="00CF3EFA">
        <w:rPr>
          <w:rFonts w:asciiTheme="majorBidi" w:hAnsiTheme="majorBidi" w:cstheme="majorBidi"/>
          <w:sz w:val="22"/>
          <w:szCs w:val="22"/>
        </w:rPr>
        <w:t>Og derfor må</w:t>
      </w:r>
    </w:p>
    <w:p w14:paraId="5F8B9A92" w14:textId="46793FCE" w:rsidR="002C040B" w:rsidRPr="00CF3EFA" w:rsidRDefault="002C040B" w:rsidP="002C040B">
      <w:pPr>
        <w:jc w:val="center"/>
        <w:rPr>
          <w:rFonts w:asciiTheme="majorBidi" w:hAnsiTheme="majorBidi" w:cstheme="majorBidi"/>
          <w:iCs/>
          <w:sz w:val="22"/>
          <w:szCs w:val="22"/>
          <w:lang w:val="it-IT"/>
        </w:rPr>
      </w:pPr>
      <m:oMathPara>
        <m:oMath>
          <m:r>
            <w:rPr>
              <w:rFonts w:ascii="Cambria Math" w:hAnsi="Cambria Math" w:cstheme="majorBidi"/>
              <w:sz w:val="22"/>
              <w:szCs w:val="22"/>
            </w:rPr>
            <m:t>n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  <w:lang w:val="it-IT"/>
                </w:rPr>
                <m:t>Fe</m:t>
              </m:r>
            </m:e>
          </m:d>
          <m:r>
            <w:rPr>
              <w:rFonts w:ascii="Cambria Math" w:hAnsi="Cambria Math" w:cstheme="majorBidi"/>
              <w:sz w:val="22"/>
              <w:szCs w:val="22"/>
              <w:lang w:val="it-IT"/>
            </w:rPr>
            <m:t>=</m:t>
          </m:r>
          <m:r>
            <w:rPr>
              <w:rFonts w:ascii="Cambria Math" w:hAnsi="Cambria Math" w:cstheme="majorBidi"/>
              <w:sz w:val="22"/>
              <w:szCs w:val="22"/>
            </w:rPr>
            <m:t>n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it-IT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it-IT"/>
                    </w:rPr>
                    <m:t>2+</m:t>
                  </m:r>
                </m:sup>
              </m:sSup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e>
          </m:d>
          <m:r>
            <w:rPr>
              <w:rFonts w:ascii="Cambria Math" w:hAnsi="Cambria Math" w:cstheme="majorBidi"/>
              <w:sz w:val="22"/>
              <w:szCs w:val="22"/>
              <w:lang w:val="it-IT"/>
            </w:rPr>
            <m:t xml:space="preserve">= 0,0091 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mol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  <w:lang w:val="it-IT"/>
            </w:rPr>
            <m:t xml:space="preserve"> </m:t>
          </m:r>
        </m:oMath>
      </m:oMathPara>
    </w:p>
    <w:p w14:paraId="5127EC5B" w14:textId="095CFFDF" w:rsidR="002C040B" w:rsidRPr="00CF3EFA" w:rsidRDefault="002C040B" w:rsidP="002C040B">
      <w:pPr>
        <w:rPr>
          <w:rFonts w:asciiTheme="majorBidi" w:hAnsiTheme="majorBidi" w:cstheme="majorBidi"/>
          <w:iCs/>
          <w:sz w:val="22"/>
          <w:szCs w:val="22"/>
        </w:rPr>
      </w:pPr>
      <w:r w:rsidRPr="00CF3EFA">
        <w:rPr>
          <w:rFonts w:asciiTheme="majorBidi" w:hAnsiTheme="majorBidi" w:cstheme="majorBidi"/>
          <w:iCs/>
          <w:sz w:val="22"/>
          <w:szCs w:val="22"/>
        </w:rPr>
        <w:t>For at finde massen af jern skal vi nu bruge formel</w:t>
      </w:r>
    </w:p>
    <w:p w14:paraId="17D21C1E" w14:textId="510B7574" w:rsidR="002C040B" w:rsidRPr="00CF3EFA" w:rsidRDefault="002C040B" w:rsidP="002C040B">
      <w:pPr>
        <w:rPr>
          <w:rFonts w:asciiTheme="majorBidi" w:hAnsiTheme="majorBidi" w:cstheme="majorBidi"/>
          <w:iCs/>
          <w:sz w:val="22"/>
          <w:szCs w:val="22"/>
        </w:rPr>
      </w:pPr>
      <m:oMathPara>
        <m:oMath>
          <m:r>
            <w:rPr>
              <w:rFonts w:ascii="Cambria Math" w:hAnsi="Cambria Math" w:cstheme="majorBidi"/>
              <w:sz w:val="22"/>
              <w:szCs w:val="22"/>
            </w:rPr>
            <m:t>m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Fe</m:t>
              </m:r>
            </m:e>
          </m:d>
          <m:r>
            <w:rPr>
              <w:rFonts w:ascii="Cambria Math" w:hAnsi="Cambria Math" w:cstheme="majorBidi"/>
              <w:sz w:val="22"/>
              <w:szCs w:val="22"/>
            </w:rPr>
            <m:t>=n(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Fe</m:t>
          </m:r>
          <m:r>
            <w:rPr>
              <w:rFonts w:ascii="Cambria Math" w:hAnsi="Cambria Math" w:cstheme="majorBidi"/>
              <w:sz w:val="22"/>
              <w:szCs w:val="22"/>
            </w:rPr>
            <m:t>)∙M(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Fe</m:t>
          </m:r>
          <m:r>
            <w:rPr>
              <w:rFonts w:ascii="Cambria Math" w:hAnsi="Cambria Math" w:cstheme="majorBidi"/>
              <w:sz w:val="22"/>
              <w:szCs w:val="22"/>
            </w:rPr>
            <m:t>)</m:t>
          </m:r>
        </m:oMath>
      </m:oMathPara>
    </w:p>
    <w:p w14:paraId="55D6A944" w14:textId="4E4F8B2B" w:rsidR="00CF3EFA" w:rsidRPr="00CF3EFA" w:rsidRDefault="00CF3EFA" w:rsidP="002C040B">
      <w:pPr>
        <w:rPr>
          <w:rFonts w:asciiTheme="majorBidi" w:hAnsiTheme="majorBidi" w:cstheme="majorBidi"/>
          <w:iCs/>
          <w:sz w:val="22"/>
          <w:szCs w:val="22"/>
        </w:rPr>
      </w:pPr>
      <w:r w:rsidRPr="00CF3EFA">
        <w:rPr>
          <w:rFonts w:asciiTheme="majorBidi" w:hAnsiTheme="majorBidi" w:cstheme="majorBidi"/>
          <w:iCs/>
          <w:sz w:val="22"/>
          <w:szCs w:val="22"/>
        </w:rPr>
        <w:t xml:space="preserve">Vi sætter ind i formlen </w:t>
      </w:r>
    </w:p>
    <w:p w14:paraId="3AFF4F66" w14:textId="7511F974" w:rsidR="00CF3EFA" w:rsidRPr="00CF3EFA" w:rsidRDefault="00CF3EFA" w:rsidP="002C040B">
      <w:pPr>
        <w:rPr>
          <w:rFonts w:asciiTheme="majorBidi" w:hAnsiTheme="majorBidi" w:cstheme="majorBidi"/>
          <w:iCs/>
          <w:sz w:val="22"/>
          <w:szCs w:val="22"/>
        </w:rPr>
      </w:pPr>
      <m:oMathPara>
        <m:oMath>
          <m:r>
            <w:rPr>
              <w:rFonts w:ascii="Cambria Math" w:hAnsi="Cambria Math" w:cstheme="majorBidi"/>
              <w:sz w:val="22"/>
              <w:szCs w:val="22"/>
            </w:rPr>
            <m:t>m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Fe</m:t>
              </m:r>
            </m:e>
          </m:d>
          <m:r>
            <w:rPr>
              <w:rFonts w:ascii="Cambria Math" w:hAnsi="Cambria Math" w:cstheme="majorBidi"/>
              <w:sz w:val="22"/>
              <w:szCs w:val="22"/>
            </w:rPr>
            <m:t>=0,0091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mol</m:t>
          </m:r>
          <m:r>
            <w:rPr>
              <w:rFonts w:ascii="Cambria Math" w:hAnsi="Cambria Math" w:cstheme="majorBidi"/>
              <w:sz w:val="22"/>
              <w:szCs w:val="22"/>
            </w:rPr>
            <m:t>∙55,85</m:t>
          </m:r>
          <m:f>
            <m:fPr>
              <m:ctrlPr>
                <w:rPr>
                  <w:rFonts w:ascii="Cambria Math" w:hAnsi="Cambria Math" w:cstheme="majorBidi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mol</m:t>
              </m:r>
            </m:den>
          </m:f>
          <m:r>
            <w:rPr>
              <w:rFonts w:ascii="Cambria Math" w:hAnsi="Cambria Math" w:cstheme="majorBidi"/>
              <w:sz w:val="22"/>
              <w:szCs w:val="22"/>
            </w:rPr>
            <m:t xml:space="preserve">=0,107 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g</m:t>
          </m:r>
        </m:oMath>
      </m:oMathPara>
    </w:p>
    <w:p w14:paraId="4C7633D9" w14:textId="1A3B1897" w:rsidR="00CF3EFA" w:rsidRPr="00CF3EFA" w:rsidRDefault="00CF3EFA" w:rsidP="002C040B">
      <w:pPr>
        <w:rPr>
          <w:rFonts w:asciiTheme="majorBidi" w:hAnsiTheme="majorBidi" w:cstheme="majorBidi"/>
          <w:iCs/>
          <w:sz w:val="22"/>
          <w:szCs w:val="22"/>
        </w:rPr>
      </w:pPr>
      <w:r w:rsidRPr="00CF3EFA">
        <w:rPr>
          <w:rFonts w:asciiTheme="majorBidi" w:hAnsiTheme="majorBidi" w:cstheme="majorBidi"/>
          <w:iCs/>
          <w:sz w:val="22"/>
          <w:szCs w:val="22"/>
        </w:rPr>
        <w:t xml:space="preserve">Ved at gange med 1000 mg/g kan vi lave tallet om til mg. Vi får således at der er 107 mg jern i 109 mg ståluld. For at finde masseprocenten </w:t>
      </w:r>
      <w:r>
        <w:rPr>
          <w:rFonts w:asciiTheme="majorBidi" w:hAnsiTheme="majorBidi" w:cstheme="majorBidi"/>
          <w:iCs/>
          <w:sz w:val="22"/>
          <w:szCs w:val="22"/>
        </w:rPr>
        <w:t xml:space="preserve">af jern i ståluld </w:t>
      </w:r>
      <w:r w:rsidRPr="00CF3EFA">
        <w:rPr>
          <w:rFonts w:asciiTheme="majorBidi" w:hAnsiTheme="majorBidi" w:cstheme="majorBidi"/>
          <w:iCs/>
          <w:sz w:val="22"/>
          <w:szCs w:val="22"/>
        </w:rPr>
        <w:t xml:space="preserve">bruger vi formlen </w:t>
      </w:r>
    </w:p>
    <w:p w14:paraId="521CB680" w14:textId="340CFDFE" w:rsidR="00CF3EFA" w:rsidRPr="00CF3EFA" w:rsidRDefault="00CF3EFA" w:rsidP="002C040B">
      <w:pPr>
        <w:rPr>
          <w:rFonts w:asciiTheme="majorBidi" w:hAnsiTheme="majorBidi" w:cstheme="majorBidi"/>
          <w:iCs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Masseprocent</m:t>
          </m:r>
          <m:d>
            <m:dPr>
              <m:ctrlPr>
                <w:rPr>
                  <w:rFonts w:ascii="Cambria Math" w:hAnsi="Cambria Math" w:cstheme="majorBidi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Fe</m:t>
              </m:r>
            </m:e>
          </m:d>
          <m:r>
            <w:rPr>
              <w:rFonts w:ascii="Cambria Math" w:hAnsi="Cambria Math" w:cstheme="majorBid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>m(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Fe</m:t>
              </m:r>
              <m:r>
                <w:rPr>
                  <w:rFonts w:ascii="Cambria Math" w:hAnsi="Cambria Math" w:cstheme="majorBidi"/>
                  <w:sz w:val="22"/>
                  <w:szCs w:val="22"/>
                </w:rPr>
                <m:t>)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>m(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ståluld</m:t>
              </m:r>
              <m:r>
                <w:rPr>
                  <w:rFonts w:ascii="Cambria Math" w:hAnsi="Cambria Math" w:cstheme="majorBidi"/>
                  <w:sz w:val="22"/>
                  <w:szCs w:val="22"/>
                </w:rPr>
                <m:t>)</m:t>
              </m:r>
            </m:den>
          </m:f>
          <m:r>
            <w:rPr>
              <w:rFonts w:ascii="Cambria Math" w:hAnsi="Cambria Math" w:cstheme="majorBidi"/>
              <w:sz w:val="22"/>
              <w:szCs w:val="22"/>
            </w:rPr>
            <m:t>∙100%</m:t>
          </m:r>
        </m:oMath>
      </m:oMathPara>
    </w:p>
    <w:p w14:paraId="1D506636" w14:textId="489AE083" w:rsidR="00CF3EFA" w:rsidRPr="00CF3EFA" w:rsidRDefault="00CF3EFA" w:rsidP="00CF3EFA">
      <w:pPr>
        <w:rPr>
          <w:rFonts w:asciiTheme="majorBidi" w:hAnsiTheme="majorBidi" w:cstheme="majorBidi"/>
          <w:iCs/>
          <w:sz w:val="22"/>
          <w:szCs w:val="22"/>
        </w:rPr>
      </w:pPr>
      <w:r w:rsidRPr="00CF3EFA">
        <w:rPr>
          <w:rFonts w:asciiTheme="majorBidi" w:hAnsiTheme="majorBidi" w:cstheme="majorBidi"/>
          <w:iCs/>
          <w:sz w:val="22"/>
          <w:szCs w:val="22"/>
        </w:rPr>
        <w:t xml:space="preserve">Vi </w:t>
      </w:r>
      <w:r>
        <w:rPr>
          <w:rFonts w:asciiTheme="majorBidi" w:hAnsiTheme="majorBidi" w:cstheme="majorBidi"/>
          <w:iCs/>
          <w:sz w:val="22"/>
          <w:szCs w:val="22"/>
        </w:rPr>
        <w:t xml:space="preserve">kan nu sætte ind i formlen. </w:t>
      </w:r>
      <w:r w:rsidRPr="00CF3EFA">
        <w:rPr>
          <w:rFonts w:ascii="Cambria Math" w:hAnsi="Cambria Math" w:cstheme="majorBidi"/>
          <w:sz w:val="22"/>
          <w:szCs w:val="22"/>
        </w:rPr>
        <w:br/>
      </w:r>
      <m:oMathPara>
        <m:oMath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Masseprocent</m:t>
          </m:r>
          <m:d>
            <m:dPr>
              <m:ctrlPr>
                <w:rPr>
                  <w:rFonts w:ascii="Cambria Math" w:hAnsi="Cambria Math" w:cstheme="majorBidi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Fe</m:t>
              </m:r>
            </m:e>
          </m:d>
          <m:r>
            <w:rPr>
              <w:rFonts w:ascii="Cambria Math" w:hAnsi="Cambria Math" w:cstheme="majorBid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 xml:space="preserve">107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mg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 xml:space="preserve">109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mg</m:t>
              </m:r>
            </m:den>
          </m:f>
          <m:r>
            <w:rPr>
              <w:rFonts w:ascii="Cambria Math" w:hAnsi="Cambria Math" w:cstheme="majorBidi"/>
              <w:sz w:val="22"/>
              <w:szCs w:val="22"/>
            </w:rPr>
            <m:t>∙100%</m:t>
          </m:r>
          <m:r>
            <w:rPr>
              <w:rFonts w:ascii="Cambria Math" w:hAnsi="Cambria Math" w:cstheme="majorBidi"/>
              <w:sz w:val="22"/>
              <w:szCs w:val="22"/>
            </w:rPr>
            <m:t>=98%</m:t>
          </m:r>
        </m:oMath>
      </m:oMathPara>
    </w:p>
    <w:sectPr w:rsidR="00CF3EFA" w:rsidRPr="00CF3E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C3"/>
    <w:rsid w:val="002C040B"/>
    <w:rsid w:val="0066768C"/>
    <w:rsid w:val="008018CE"/>
    <w:rsid w:val="00B012C3"/>
    <w:rsid w:val="00B01D3C"/>
    <w:rsid w:val="00CF3EFA"/>
    <w:rsid w:val="00D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0AD6A"/>
  <w15:chartTrackingRefBased/>
  <w15:docId w15:val="{09647E4A-5B0C-3041-9484-95FABE2A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1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1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1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1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1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1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1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1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1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1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1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12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12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12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12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12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12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1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1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1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12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12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12C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1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12C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12C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012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012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Bjerrum-Bohr</dc:creator>
  <cp:keywords/>
  <dc:description/>
  <cp:lastModifiedBy>Ida Bjerrum-Bohr</cp:lastModifiedBy>
  <cp:revision>1</cp:revision>
  <dcterms:created xsi:type="dcterms:W3CDTF">2024-09-11T19:45:00Z</dcterms:created>
  <dcterms:modified xsi:type="dcterms:W3CDTF">2024-09-11T20:16:00Z</dcterms:modified>
</cp:coreProperties>
</file>