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670F" w14:textId="04C97181" w:rsidR="00DC14BD" w:rsidRPr="00BB424C" w:rsidRDefault="003762FF" w:rsidP="00BB424C">
      <w:pPr>
        <w:jc w:val="center"/>
        <w:rPr>
          <w:b/>
          <w:bCs/>
          <w:sz w:val="28"/>
          <w:szCs w:val="28"/>
        </w:rPr>
      </w:pPr>
      <w:r w:rsidRPr="00BB424C">
        <w:rPr>
          <w:b/>
          <w:bCs/>
          <w:sz w:val="28"/>
          <w:szCs w:val="28"/>
        </w:rPr>
        <w:t>Prøveeksamen</w:t>
      </w:r>
    </w:p>
    <w:p w14:paraId="018070E7" w14:textId="77777777" w:rsidR="003762FF" w:rsidRDefault="003762FF"/>
    <w:p w14:paraId="5F3BE06B" w14:textId="518EA6CE" w:rsidR="00B81E1B" w:rsidRDefault="00B81E1B" w:rsidP="003762FF">
      <w:pPr>
        <w:rPr>
          <w:b/>
        </w:rPr>
      </w:pPr>
      <w:r>
        <w:rPr>
          <w:noProof/>
        </w:rPr>
        <w:drawing>
          <wp:inline distT="0" distB="0" distL="0" distR="0" wp14:anchorId="269EEDE2" wp14:editId="57F5E66C">
            <wp:extent cx="6120130" cy="4184650"/>
            <wp:effectExtent l="0" t="0" r="0" b="0"/>
            <wp:docPr id="1992385190" name="Billede 1" descr="Mundtlig eksamen 9. og 10. kl. - Randers Real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tlig eksamen 9. og 10. kl. - Randers Realsko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4184650"/>
                    </a:xfrm>
                    <a:prstGeom prst="rect">
                      <a:avLst/>
                    </a:prstGeom>
                    <a:noFill/>
                    <a:ln>
                      <a:noFill/>
                    </a:ln>
                  </pic:spPr>
                </pic:pic>
              </a:graphicData>
            </a:graphic>
          </wp:inline>
        </w:drawing>
      </w:r>
    </w:p>
    <w:p w14:paraId="5E2D8299" w14:textId="6AC69480" w:rsidR="003762FF" w:rsidRPr="005D49E9" w:rsidRDefault="003762FF" w:rsidP="003762FF">
      <w:pPr>
        <w:rPr>
          <w:b/>
        </w:rPr>
      </w:pPr>
      <w:r w:rsidRPr="005D49E9">
        <w:rPr>
          <w:b/>
        </w:rPr>
        <w:t>Fremgangsmåde</w:t>
      </w:r>
    </w:p>
    <w:p w14:paraId="12334F50" w14:textId="77777777" w:rsidR="003762FF" w:rsidRDefault="003762FF" w:rsidP="003762FF">
      <w:pPr>
        <w:contextualSpacing/>
      </w:pPr>
      <w:r>
        <w:t xml:space="preserve">Selve eksamen skal indeholde minimum 5 minutters elevpræsentation og ca. 10 minutters dialog. </w:t>
      </w:r>
    </w:p>
    <w:p w14:paraId="55766BB4" w14:textId="77777777" w:rsidR="003762FF" w:rsidRDefault="003762FF" w:rsidP="003762FF">
      <w:pPr>
        <w:contextualSpacing/>
      </w:pPr>
      <w:r>
        <w:t xml:space="preserve">I bestemmer selv, om I vil give en karakter, eller have en kvalificeret samtale om niveauet. </w:t>
      </w:r>
    </w:p>
    <w:p w14:paraId="3B0EC8B5" w14:textId="77777777" w:rsidR="003762FF" w:rsidRDefault="003762FF" w:rsidP="003762FF">
      <w:pPr>
        <w:contextualSpacing/>
      </w:pPr>
      <w:r>
        <w:t xml:space="preserve">Hele seancen skal tage 20 minutter. </w:t>
      </w:r>
    </w:p>
    <w:p w14:paraId="4136AC4F" w14:textId="77777777" w:rsidR="003762FF" w:rsidRDefault="003762FF" w:rsidP="003762FF"/>
    <w:p w14:paraId="697D2365" w14:textId="77777777" w:rsidR="003762FF" w:rsidRPr="005D49E9" w:rsidRDefault="003762FF" w:rsidP="003762FF">
      <w:pPr>
        <w:rPr>
          <w:b/>
        </w:rPr>
      </w:pPr>
      <w:r w:rsidRPr="005D49E9">
        <w:rPr>
          <w:b/>
        </w:rPr>
        <w:t>Fra bekendtgørelsen</w:t>
      </w:r>
    </w:p>
    <w:p w14:paraId="00C3CB96" w14:textId="77777777" w:rsidR="003762FF" w:rsidRPr="003F688E" w:rsidRDefault="003762FF" w:rsidP="003762FF">
      <w:pPr>
        <w:pStyle w:val="Default"/>
        <w:rPr>
          <w:i/>
          <w:iCs/>
          <w:sz w:val="17"/>
          <w:szCs w:val="17"/>
        </w:rPr>
      </w:pPr>
      <w:r w:rsidRPr="003F688E">
        <w:rPr>
          <w:i/>
          <w:iCs/>
          <w:sz w:val="17"/>
          <w:szCs w:val="17"/>
        </w:rPr>
        <w:t xml:space="preserve">Den mundtlige prøve </w:t>
      </w:r>
    </w:p>
    <w:p w14:paraId="7265F090" w14:textId="77777777" w:rsidR="003762FF" w:rsidRDefault="003762FF" w:rsidP="003762FF">
      <w:pPr>
        <w:pStyle w:val="Default"/>
        <w:rPr>
          <w:sz w:val="17"/>
          <w:szCs w:val="17"/>
        </w:rPr>
      </w:pPr>
    </w:p>
    <w:p w14:paraId="4BCAB18F" w14:textId="77777777" w:rsidR="003762FF" w:rsidRDefault="003762FF" w:rsidP="003762FF">
      <w:pPr>
        <w:pStyle w:val="Default"/>
        <w:rPr>
          <w:sz w:val="17"/>
          <w:szCs w:val="17"/>
        </w:rPr>
      </w:pPr>
      <w:r>
        <w:rPr>
          <w:sz w:val="17"/>
          <w:szCs w:val="17"/>
        </w:rPr>
        <w:t xml:space="preserve">Eksaminationstiden er ca. 30 minutter pr. eksaminand, og der gives ca. 60 minutters forberedelsestid. </w:t>
      </w:r>
    </w:p>
    <w:p w14:paraId="3A0A99E2" w14:textId="77777777" w:rsidR="003762FF" w:rsidRDefault="003762FF" w:rsidP="003762FF">
      <w:pPr>
        <w:pStyle w:val="Default"/>
        <w:rPr>
          <w:sz w:val="17"/>
          <w:szCs w:val="17"/>
        </w:rPr>
      </w:pPr>
      <w:r>
        <w:rPr>
          <w:sz w:val="17"/>
          <w:szCs w:val="17"/>
        </w:rPr>
        <w:t xml:space="preserve">Opgaverne, der indgår som grundlag for prøven, vælges af eksaminator og skal tilsammen i al væsentlighed dække de faglige mål, kernestoffet og det supplerende stof. Opgaverne fordeles skønsmæssigt over litterære, sproglige og mediemæssige perspektiver i forholdet 2:1:1. Den enkelte opgave må anvendes højst tre gange på samme hold. </w:t>
      </w:r>
    </w:p>
    <w:p w14:paraId="43BE5243" w14:textId="77777777" w:rsidR="003762FF" w:rsidRDefault="003762FF" w:rsidP="003762FF">
      <w:pPr>
        <w:pStyle w:val="Default"/>
        <w:rPr>
          <w:sz w:val="17"/>
          <w:szCs w:val="17"/>
        </w:rPr>
      </w:pPr>
      <w:r>
        <w:rPr>
          <w:sz w:val="17"/>
          <w:szCs w:val="17"/>
        </w:rPr>
        <w:t xml:space="preserve">Opgaven har udgangspunkt i et undervisningsforløb samt enten et litterært, sprogligt eller mediemæssigt perspektiv eventuelt med inddragelse af et andet perspektiv. Opgaven består af en eller flere tekster samt instrukser, der angiver, hvordan eksaminanden skal arbejde med teksterne. Teksternes samlede omfang må ikke overskride fem normalsider a 2400 enheder (antal anslag inklusive mellemrum) eller 12 minutters afspillet tekst. Såvel kendte som ukendte tekster kan indgå, men mindst én tekst skal være ukendt. Opgaven skal tage udgangspunkt i det ukendte prøvemateriale. </w:t>
      </w:r>
    </w:p>
    <w:p w14:paraId="7766A20A" w14:textId="77777777" w:rsidR="003762FF" w:rsidRDefault="003762FF" w:rsidP="003762FF">
      <w:pPr>
        <w:rPr>
          <w:rFonts w:ascii="Tahoma" w:hAnsi="Tahoma" w:cs="Tahoma"/>
          <w:color w:val="000000"/>
          <w:sz w:val="17"/>
          <w:szCs w:val="17"/>
        </w:rPr>
      </w:pPr>
      <w:r w:rsidRPr="005D49E9">
        <w:rPr>
          <w:rFonts w:ascii="Tahoma" w:hAnsi="Tahoma" w:cs="Tahoma"/>
          <w:color w:val="000000"/>
          <w:sz w:val="17"/>
          <w:szCs w:val="17"/>
        </w:rPr>
        <w:t>Eksaminanden indleder med et mundtligt oplæg på 8-10 minutter. Eksaminationen former sig videre som en faglig samtale om den trukne opgave.</w:t>
      </w:r>
    </w:p>
    <w:p w14:paraId="0F2E3026" w14:textId="77777777" w:rsidR="003762FF" w:rsidRDefault="003762FF"/>
    <w:p w14:paraId="6634BAA0" w14:textId="78542F2F" w:rsidR="003762FF" w:rsidRDefault="003762FF">
      <w:r w:rsidRPr="003762FF">
        <w:rPr>
          <w:b/>
          <w:bCs/>
        </w:rPr>
        <w:lastRenderedPageBreak/>
        <w:t>Elev:</w:t>
      </w:r>
      <w:r>
        <w:t xml:space="preserve"> skal forberede en præsentation på ca. 5 minutter, hvor opgaven besvares. </w:t>
      </w:r>
    </w:p>
    <w:p w14:paraId="1B324DF6" w14:textId="6682AF64" w:rsidR="003762FF" w:rsidRDefault="003762FF">
      <w:r w:rsidRPr="003762FF">
        <w:rPr>
          <w:b/>
          <w:bCs/>
        </w:rPr>
        <w:t>Lærer:</w:t>
      </w:r>
      <w:r>
        <w:t xml:space="preserve"> skal stille spørgsmål til det øvrige indhold af forløbet. </w:t>
      </w:r>
    </w:p>
    <w:p w14:paraId="21D0451E" w14:textId="271EBA81" w:rsidR="003762FF" w:rsidRDefault="003762FF">
      <w:r w:rsidRPr="003762FF">
        <w:rPr>
          <w:b/>
          <w:bCs/>
        </w:rPr>
        <w:t>Censor:</w:t>
      </w:r>
      <w:r>
        <w:t xml:space="preserve"> skal spille ud med en karakter ud fra de </w:t>
      </w:r>
      <w:r w:rsidRPr="003762FF">
        <w:rPr>
          <w:i/>
          <w:iCs/>
        </w:rPr>
        <w:t xml:space="preserve">relevante </w:t>
      </w:r>
      <w:r>
        <w:t>faglige mål</w:t>
      </w:r>
    </w:p>
    <w:p w14:paraId="29245FF1" w14:textId="77777777" w:rsidR="003762FF" w:rsidRDefault="003762FF"/>
    <w:p w14:paraId="7278A760" w14:textId="77777777" w:rsidR="003762FF" w:rsidRPr="003762FF" w:rsidRDefault="003762FF">
      <w:pPr>
        <w:rPr>
          <w:b/>
          <w:bCs/>
        </w:rPr>
      </w:pPr>
      <w:r w:rsidRPr="003762FF">
        <w:rPr>
          <w:b/>
          <w:bCs/>
        </w:rPr>
        <w:t xml:space="preserve">Faglige mål </w:t>
      </w:r>
    </w:p>
    <w:p w14:paraId="11142E84" w14:textId="77777777" w:rsidR="003762FF" w:rsidRPr="003762FF" w:rsidRDefault="003762FF">
      <w:pPr>
        <w:rPr>
          <w:b/>
          <w:bCs/>
        </w:rPr>
      </w:pPr>
      <w:r w:rsidRPr="003762FF">
        <w:rPr>
          <w:b/>
          <w:bCs/>
        </w:rPr>
        <w:t xml:space="preserve">Eleverne skal kunne: </w:t>
      </w:r>
    </w:p>
    <w:p w14:paraId="6B47601E" w14:textId="77777777" w:rsidR="003762FF" w:rsidRDefault="003762FF">
      <w:r w:rsidRPr="003762FF">
        <w:t xml:space="preserve">– udtrykke sig præcist, nuanceret og formidlingsbevidst mundtligt, skriftligt såvel som multimodalt </w:t>
      </w:r>
    </w:p>
    <w:p w14:paraId="15FF5C78" w14:textId="77777777" w:rsidR="003762FF" w:rsidRDefault="003762FF">
      <w:r w:rsidRPr="003762FF">
        <w:t xml:space="preserve">– beherske skriftsprogets normer for korrekthed og anvende grammatiske og stilistiske grundbegreber </w:t>
      </w:r>
    </w:p>
    <w:p w14:paraId="749FE770" w14:textId="77777777" w:rsidR="003762FF" w:rsidRDefault="003762FF">
      <w:r w:rsidRPr="003762FF">
        <w:t>– dokumentere indblik i sprogets funktion og variation, herunder dets samspil med kultur og samfund</w:t>
      </w:r>
    </w:p>
    <w:p w14:paraId="5A0160F1" w14:textId="77777777" w:rsidR="003762FF" w:rsidRDefault="003762FF">
      <w:r w:rsidRPr="003762FF">
        <w:t xml:space="preserve"> – anvende centrale mundtlige fremstillingsformer (herunder holde faglige oplæg og argumentere for et synspunkt) med formidlingsbevidsthed</w:t>
      </w:r>
    </w:p>
    <w:p w14:paraId="10F6B852" w14:textId="77777777" w:rsidR="003762FF" w:rsidRDefault="003762FF">
      <w:r w:rsidRPr="003762FF">
        <w:t xml:space="preserve"> – anvende centrale skriftlige fremstillingsformer (herunder redegøre, diskutere, analysere, fortolke og vurdere) med formidlingsbevidsthed</w:t>
      </w:r>
    </w:p>
    <w:p w14:paraId="690811B6" w14:textId="77777777" w:rsidR="003762FF" w:rsidRDefault="003762FF">
      <w:r w:rsidRPr="003762FF">
        <w:t xml:space="preserve"> – analysere, fortolke og perspektivere fiktive og ikke-fiktive tekster i alle medier</w:t>
      </w:r>
    </w:p>
    <w:p w14:paraId="0B717FF3" w14:textId="77777777" w:rsidR="003762FF" w:rsidRDefault="003762FF">
      <w:r w:rsidRPr="003762FF">
        <w:t xml:space="preserve"> – dokumentere kendskab til en bred repræsentation af dansk litteratur gennem tiderne med perspektiv til litteraturen i Norden, Europa og den øvrige verden </w:t>
      </w:r>
    </w:p>
    <w:p w14:paraId="50F7DDB6" w14:textId="77777777" w:rsidR="003762FF" w:rsidRDefault="003762FF">
      <w:r w:rsidRPr="003762FF">
        <w:t>– demonstrere viden om og kunne perspektivere til træk af den danske litteraturs historie, herunder samspillet mellem tekst, kultur og samfund</w:t>
      </w:r>
    </w:p>
    <w:p w14:paraId="6323F9A7" w14:textId="77777777" w:rsidR="003762FF" w:rsidRDefault="003762FF">
      <w:r w:rsidRPr="003762FF">
        <w:t xml:space="preserve"> – demonstrere kendskab og forholde sig reflekteret til mediebilledet i dag </w:t>
      </w:r>
    </w:p>
    <w:p w14:paraId="4932747A" w14:textId="77777777" w:rsidR="003762FF" w:rsidRDefault="003762FF">
      <w:r w:rsidRPr="003762FF">
        <w:t xml:space="preserve">– navigere, udvælge og forholde sig kritisk og analytisk til information i alle medier samt deltage reflekteret i og bidrage til digitale fællesskaber </w:t>
      </w:r>
    </w:p>
    <w:p w14:paraId="5A6450E8" w14:textId="77777777" w:rsidR="003762FF" w:rsidRDefault="003762FF">
      <w:r w:rsidRPr="003762FF">
        <w:t xml:space="preserve">– demonstrere viden om og reflektere over fagets identitet og metoder </w:t>
      </w:r>
    </w:p>
    <w:p w14:paraId="46E29B4A" w14:textId="2FAB518D" w:rsidR="003762FF" w:rsidRDefault="003762FF">
      <w:r w:rsidRPr="003762FF">
        <w:t>– undersøge problemstillinger og udvikle og vurdere løsninger, hvor fagets viden og metoder anvendes, herunder i samspil med andre fag.</w:t>
      </w:r>
    </w:p>
    <w:p w14:paraId="65363811" w14:textId="77777777" w:rsidR="003762FF" w:rsidRDefault="003762FF"/>
    <w:p w14:paraId="01D5988F" w14:textId="7760502D" w:rsidR="003762FF" w:rsidRPr="00B81E1B" w:rsidRDefault="003762FF">
      <w:pPr>
        <w:rPr>
          <w:b/>
          <w:bCs/>
        </w:rPr>
      </w:pPr>
      <w:r w:rsidRPr="00B81E1B">
        <w:rPr>
          <w:b/>
          <w:bCs/>
        </w:rPr>
        <w:t>Grupper</w:t>
      </w:r>
    </w:p>
    <w:tbl>
      <w:tblPr>
        <w:tblStyle w:val="Tabel-Gitter"/>
        <w:tblW w:w="0" w:type="auto"/>
        <w:tblLook w:val="04A0" w:firstRow="1" w:lastRow="0" w:firstColumn="1" w:lastColumn="0" w:noHBand="0" w:noVBand="1"/>
      </w:tblPr>
      <w:tblGrid>
        <w:gridCol w:w="3259"/>
        <w:gridCol w:w="3259"/>
        <w:gridCol w:w="3260"/>
      </w:tblGrid>
      <w:tr w:rsidR="003762FF" w14:paraId="5B082687" w14:textId="77777777" w:rsidTr="003762FF">
        <w:tc>
          <w:tcPr>
            <w:tcW w:w="3259" w:type="dxa"/>
          </w:tcPr>
          <w:p w14:paraId="7FA95ACC" w14:textId="25914E29" w:rsidR="003762FF" w:rsidRPr="00B81E1B" w:rsidRDefault="003762FF">
            <w:pPr>
              <w:rPr>
                <w:b/>
                <w:bCs/>
              </w:rPr>
            </w:pPr>
            <w:r w:rsidRPr="00B81E1B">
              <w:rPr>
                <w:b/>
                <w:bCs/>
              </w:rPr>
              <w:t>Elev</w:t>
            </w:r>
          </w:p>
        </w:tc>
        <w:tc>
          <w:tcPr>
            <w:tcW w:w="3259" w:type="dxa"/>
          </w:tcPr>
          <w:p w14:paraId="1F0D47C3" w14:textId="585B9803" w:rsidR="003762FF" w:rsidRPr="00B81E1B" w:rsidRDefault="003762FF">
            <w:pPr>
              <w:rPr>
                <w:b/>
                <w:bCs/>
              </w:rPr>
            </w:pPr>
            <w:r w:rsidRPr="00B81E1B">
              <w:rPr>
                <w:b/>
                <w:bCs/>
              </w:rPr>
              <w:t xml:space="preserve">Lærer </w:t>
            </w:r>
          </w:p>
        </w:tc>
        <w:tc>
          <w:tcPr>
            <w:tcW w:w="3260" w:type="dxa"/>
          </w:tcPr>
          <w:p w14:paraId="5B86BCDC" w14:textId="5F40385A" w:rsidR="003762FF" w:rsidRPr="00B81E1B" w:rsidRDefault="003762FF">
            <w:pPr>
              <w:rPr>
                <w:b/>
                <w:bCs/>
              </w:rPr>
            </w:pPr>
            <w:r w:rsidRPr="00B81E1B">
              <w:rPr>
                <w:b/>
                <w:bCs/>
              </w:rPr>
              <w:t>Censor</w:t>
            </w:r>
          </w:p>
        </w:tc>
      </w:tr>
      <w:tr w:rsidR="003762FF" w14:paraId="1F507E12" w14:textId="77777777" w:rsidTr="003762FF">
        <w:tc>
          <w:tcPr>
            <w:tcW w:w="3259" w:type="dxa"/>
          </w:tcPr>
          <w:p w14:paraId="62BAE461" w14:textId="24EE90D0" w:rsidR="003762FF" w:rsidRDefault="003762FF">
            <w:r>
              <w:t>Noah</w:t>
            </w:r>
          </w:p>
        </w:tc>
        <w:tc>
          <w:tcPr>
            <w:tcW w:w="3259" w:type="dxa"/>
          </w:tcPr>
          <w:p w14:paraId="36D84730" w14:textId="7FBDB98D" w:rsidR="003762FF" w:rsidRDefault="00B81E1B">
            <w:r>
              <w:t>Beyza</w:t>
            </w:r>
          </w:p>
        </w:tc>
        <w:tc>
          <w:tcPr>
            <w:tcW w:w="3260" w:type="dxa"/>
          </w:tcPr>
          <w:p w14:paraId="222FD022" w14:textId="378C5EF2" w:rsidR="003762FF" w:rsidRDefault="003762FF">
            <w:r>
              <w:t>Sofia</w:t>
            </w:r>
          </w:p>
        </w:tc>
      </w:tr>
      <w:tr w:rsidR="003762FF" w14:paraId="1F87CA27" w14:textId="77777777" w:rsidTr="003762FF">
        <w:tc>
          <w:tcPr>
            <w:tcW w:w="3259" w:type="dxa"/>
          </w:tcPr>
          <w:p w14:paraId="6E014A95" w14:textId="10D9BD50" w:rsidR="003762FF" w:rsidRDefault="00B81E1B">
            <w:r>
              <w:t>Anna</w:t>
            </w:r>
          </w:p>
        </w:tc>
        <w:tc>
          <w:tcPr>
            <w:tcW w:w="3259" w:type="dxa"/>
          </w:tcPr>
          <w:p w14:paraId="4297325C" w14:textId="307ACED4" w:rsidR="00B81E1B" w:rsidRDefault="00B81E1B">
            <w:r>
              <w:t>Sofie</w:t>
            </w:r>
          </w:p>
        </w:tc>
        <w:tc>
          <w:tcPr>
            <w:tcW w:w="3260" w:type="dxa"/>
          </w:tcPr>
          <w:p w14:paraId="3D73D38E" w14:textId="759099AF" w:rsidR="003762FF" w:rsidRDefault="00B81E1B">
            <w:r>
              <w:t>Senia</w:t>
            </w:r>
          </w:p>
        </w:tc>
      </w:tr>
      <w:tr w:rsidR="003762FF" w14:paraId="1466242D" w14:textId="77777777" w:rsidTr="003762FF">
        <w:tc>
          <w:tcPr>
            <w:tcW w:w="3259" w:type="dxa"/>
          </w:tcPr>
          <w:p w14:paraId="3762EC4C" w14:textId="371869E0" w:rsidR="003762FF" w:rsidRDefault="003762FF">
            <w:r>
              <w:t>Mie</w:t>
            </w:r>
          </w:p>
        </w:tc>
        <w:tc>
          <w:tcPr>
            <w:tcW w:w="3259" w:type="dxa"/>
          </w:tcPr>
          <w:p w14:paraId="690FE6F0" w14:textId="6ACA5C26" w:rsidR="003762FF" w:rsidRDefault="003762FF">
            <w:r>
              <w:t>Conrad</w:t>
            </w:r>
          </w:p>
        </w:tc>
        <w:tc>
          <w:tcPr>
            <w:tcW w:w="3260" w:type="dxa"/>
          </w:tcPr>
          <w:p w14:paraId="221B8265" w14:textId="46546391" w:rsidR="003762FF" w:rsidRDefault="00B81E1B">
            <w:r>
              <w:t>Benedicte</w:t>
            </w:r>
          </w:p>
        </w:tc>
      </w:tr>
      <w:tr w:rsidR="003762FF" w14:paraId="1CB5E37D" w14:textId="77777777" w:rsidTr="003762FF">
        <w:tc>
          <w:tcPr>
            <w:tcW w:w="3259" w:type="dxa"/>
          </w:tcPr>
          <w:p w14:paraId="1E9A48D6" w14:textId="19F24B30" w:rsidR="003762FF" w:rsidRDefault="00A33212">
            <w:r>
              <w:t>Nicolai</w:t>
            </w:r>
          </w:p>
        </w:tc>
        <w:tc>
          <w:tcPr>
            <w:tcW w:w="3259" w:type="dxa"/>
          </w:tcPr>
          <w:p w14:paraId="1FE8F5B0" w14:textId="2F64859C" w:rsidR="003762FF" w:rsidRDefault="003762FF">
            <w:proofErr w:type="spellStart"/>
            <w:r>
              <w:t>Hila</w:t>
            </w:r>
            <w:proofErr w:type="spellEnd"/>
          </w:p>
        </w:tc>
        <w:tc>
          <w:tcPr>
            <w:tcW w:w="3260" w:type="dxa"/>
          </w:tcPr>
          <w:p w14:paraId="47262067" w14:textId="14F30399" w:rsidR="003762FF" w:rsidRDefault="003762FF">
            <w:r>
              <w:t>Maja</w:t>
            </w:r>
          </w:p>
        </w:tc>
      </w:tr>
      <w:tr w:rsidR="003762FF" w14:paraId="3C90842B" w14:textId="77777777" w:rsidTr="003762FF">
        <w:tc>
          <w:tcPr>
            <w:tcW w:w="3259" w:type="dxa"/>
          </w:tcPr>
          <w:p w14:paraId="08E5049C" w14:textId="17B48E1F" w:rsidR="003762FF" w:rsidRDefault="003762FF">
            <w:r>
              <w:t>Kiraz</w:t>
            </w:r>
          </w:p>
        </w:tc>
        <w:tc>
          <w:tcPr>
            <w:tcW w:w="3259" w:type="dxa"/>
          </w:tcPr>
          <w:p w14:paraId="54EE921D" w14:textId="087A6676" w:rsidR="003762FF" w:rsidRDefault="003762FF">
            <w:proofErr w:type="spellStart"/>
            <w:r>
              <w:t>Prosberg</w:t>
            </w:r>
            <w:proofErr w:type="spellEnd"/>
          </w:p>
        </w:tc>
        <w:tc>
          <w:tcPr>
            <w:tcW w:w="3260" w:type="dxa"/>
          </w:tcPr>
          <w:p w14:paraId="5F683A46" w14:textId="6CDCA5A1" w:rsidR="003762FF" w:rsidRDefault="003762FF">
            <w:r>
              <w:t>Tobias</w:t>
            </w:r>
          </w:p>
        </w:tc>
      </w:tr>
      <w:tr w:rsidR="00B81E1B" w14:paraId="2959BF22" w14:textId="77777777" w:rsidTr="003762FF">
        <w:tc>
          <w:tcPr>
            <w:tcW w:w="3259" w:type="dxa"/>
          </w:tcPr>
          <w:p w14:paraId="4FF3CCFE" w14:textId="60E54E33" w:rsidR="00B81E1B" w:rsidRDefault="00B81E1B">
            <w:r>
              <w:t>Freja</w:t>
            </w:r>
          </w:p>
        </w:tc>
        <w:tc>
          <w:tcPr>
            <w:tcW w:w="3259" w:type="dxa"/>
          </w:tcPr>
          <w:p w14:paraId="570C0CA1" w14:textId="5362E11B" w:rsidR="00B81E1B" w:rsidRDefault="00B81E1B">
            <w:r>
              <w:t xml:space="preserve">Ida P. </w:t>
            </w:r>
          </w:p>
        </w:tc>
        <w:tc>
          <w:tcPr>
            <w:tcW w:w="3260" w:type="dxa"/>
          </w:tcPr>
          <w:p w14:paraId="044D6CF6" w14:textId="46CD317C" w:rsidR="00B81E1B" w:rsidRDefault="00B81E1B">
            <w:r>
              <w:t>Melike</w:t>
            </w:r>
          </w:p>
        </w:tc>
      </w:tr>
      <w:tr w:rsidR="003762FF" w14:paraId="3B430880" w14:textId="77777777" w:rsidTr="00B81E1B">
        <w:trPr>
          <w:trHeight w:val="345"/>
        </w:trPr>
        <w:tc>
          <w:tcPr>
            <w:tcW w:w="3259" w:type="dxa"/>
          </w:tcPr>
          <w:p w14:paraId="0F2B3F50" w14:textId="32345A08" w:rsidR="003762FF" w:rsidRDefault="00A33212">
            <w:r>
              <w:t>Ida-Marie</w:t>
            </w:r>
          </w:p>
        </w:tc>
        <w:tc>
          <w:tcPr>
            <w:tcW w:w="3259" w:type="dxa"/>
          </w:tcPr>
          <w:p w14:paraId="0928A3CD" w14:textId="5FB77D3E" w:rsidR="003762FF" w:rsidRDefault="003762FF">
            <w:r>
              <w:t>Isabella</w:t>
            </w:r>
          </w:p>
        </w:tc>
        <w:tc>
          <w:tcPr>
            <w:tcW w:w="3260" w:type="dxa"/>
          </w:tcPr>
          <w:p w14:paraId="7720AABD" w14:textId="300565C6" w:rsidR="003762FF" w:rsidRDefault="003762FF"/>
        </w:tc>
      </w:tr>
      <w:tr w:rsidR="00B81E1B" w14:paraId="55681860" w14:textId="77777777" w:rsidTr="003762FF">
        <w:tc>
          <w:tcPr>
            <w:tcW w:w="3259" w:type="dxa"/>
          </w:tcPr>
          <w:p w14:paraId="5B36F56E" w14:textId="561D7A37" w:rsidR="00B81E1B" w:rsidRDefault="00A33212">
            <w:r>
              <w:t>Gry</w:t>
            </w:r>
          </w:p>
        </w:tc>
        <w:tc>
          <w:tcPr>
            <w:tcW w:w="3259" w:type="dxa"/>
          </w:tcPr>
          <w:p w14:paraId="66727285" w14:textId="3931CB63" w:rsidR="00B81E1B" w:rsidRDefault="00B81E1B">
            <w:r>
              <w:t>Hannah</w:t>
            </w:r>
            <w:r>
              <w:t xml:space="preserve"> </w:t>
            </w:r>
          </w:p>
        </w:tc>
        <w:tc>
          <w:tcPr>
            <w:tcW w:w="3260" w:type="dxa"/>
          </w:tcPr>
          <w:p w14:paraId="4FA0584B" w14:textId="1D6EA5F2" w:rsidR="00B81E1B" w:rsidRDefault="00B81E1B"/>
        </w:tc>
      </w:tr>
    </w:tbl>
    <w:p w14:paraId="582DCFF2" w14:textId="77777777" w:rsidR="003762FF" w:rsidRDefault="003762FF"/>
    <w:sectPr w:rsidR="003762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62FF"/>
    <w:rsid w:val="003762FF"/>
    <w:rsid w:val="00A33212"/>
    <w:rsid w:val="00B81E1B"/>
    <w:rsid w:val="00BB424C"/>
    <w:rsid w:val="00C9645A"/>
    <w:rsid w:val="00DC14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11EF"/>
  <w15:chartTrackingRefBased/>
  <w15:docId w15:val="{0EAF40A9-457C-47D1-9E63-DA415563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62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762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762F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762F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762F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762F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762F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762F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762F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762F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762F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762F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762F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762F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3762F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762F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762F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762FF"/>
    <w:rPr>
      <w:rFonts w:eastAsiaTheme="majorEastAsia" w:cstheme="majorBidi"/>
      <w:color w:val="272727" w:themeColor="text1" w:themeTint="D8"/>
    </w:rPr>
  </w:style>
  <w:style w:type="paragraph" w:styleId="Titel">
    <w:name w:val="Title"/>
    <w:basedOn w:val="Normal"/>
    <w:next w:val="Normal"/>
    <w:link w:val="TitelTegn"/>
    <w:uiPriority w:val="10"/>
    <w:qFormat/>
    <w:rsid w:val="00376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762F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762F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762F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762F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762FF"/>
    <w:rPr>
      <w:i/>
      <w:iCs/>
      <w:color w:val="404040" w:themeColor="text1" w:themeTint="BF"/>
    </w:rPr>
  </w:style>
  <w:style w:type="paragraph" w:styleId="Listeafsnit">
    <w:name w:val="List Paragraph"/>
    <w:basedOn w:val="Normal"/>
    <w:uiPriority w:val="34"/>
    <w:qFormat/>
    <w:rsid w:val="003762FF"/>
    <w:pPr>
      <w:ind w:left="720"/>
      <w:contextualSpacing/>
    </w:pPr>
  </w:style>
  <w:style w:type="character" w:styleId="Kraftigfremhvning">
    <w:name w:val="Intense Emphasis"/>
    <w:basedOn w:val="Standardskrifttypeiafsnit"/>
    <w:uiPriority w:val="21"/>
    <w:qFormat/>
    <w:rsid w:val="003762FF"/>
    <w:rPr>
      <w:i/>
      <w:iCs/>
      <w:color w:val="2F5496" w:themeColor="accent1" w:themeShade="BF"/>
    </w:rPr>
  </w:style>
  <w:style w:type="paragraph" w:styleId="Strktcitat">
    <w:name w:val="Intense Quote"/>
    <w:basedOn w:val="Normal"/>
    <w:next w:val="Normal"/>
    <w:link w:val="StrktcitatTegn"/>
    <w:uiPriority w:val="30"/>
    <w:qFormat/>
    <w:rsid w:val="00376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762FF"/>
    <w:rPr>
      <w:i/>
      <w:iCs/>
      <w:color w:val="2F5496" w:themeColor="accent1" w:themeShade="BF"/>
    </w:rPr>
  </w:style>
  <w:style w:type="character" w:styleId="Kraftighenvisning">
    <w:name w:val="Intense Reference"/>
    <w:basedOn w:val="Standardskrifttypeiafsnit"/>
    <w:uiPriority w:val="32"/>
    <w:qFormat/>
    <w:rsid w:val="003762FF"/>
    <w:rPr>
      <w:b/>
      <w:bCs/>
      <w:smallCaps/>
      <w:color w:val="2F5496" w:themeColor="accent1" w:themeShade="BF"/>
      <w:spacing w:val="5"/>
    </w:rPr>
  </w:style>
  <w:style w:type="paragraph" w:customStyle="1" w:styleId="Default">
    <w:name w:val="Default"/>
    <w:rsid w:val="003762FF"/>
    <w:pPr>
      <w:autoSpaceDE w:val="0"/>
      <w:autoSpaceDN w:val="0"/>
      <w:adjustRightInd w:val="0"/>
      <w:spacing w:after="0" w:line="240" w:lineRule="auto"/>
    </w:pPr>
    <w:rPr>
      <w:rFonts w:ascii="Tahoma" w:hAnsi="Tahoma" w:cs="Tahoma"/>
      <w:color w:val="000000"/>
      <w:kern w:val="0"/>
      <w:sz w:val="24"/>
      <w:szCs w:val="24"/>
    </w:rPr>
  </w:style>
  <w:style w:type="table" w:styleId="Tabel-Gitter">
    <w:name w:val="Table Grid"/>
    <w:basedOn w:val="Tabel-Normal"/>
    <w:uiPriority w:val="39"/>
    <w:rsid w:val="0037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503</Words>
  <Characters>2793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Bonavida</dc:creator>
  <cp:keywords/>
  <dc:description/>
  <cp:lastModifiedBy>Marie Bonavida</cp:lastModifiedBy>
  <cp:revision>3</cp:revision>
  <dcterms:created xsi:type="dcterms:W3CDTF">2024-03-19T07:40:00Z</dcterms:created>
  <dcterms:modified xsi:type="dcterms:W3CDTF">2024-03-19T09:01:00Z</dcterms:modified>
</cp:coreProperties>
</file>