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8C69" w14:textId="0DC70AE5" w:rsidR="00565208" w:rsidRDefault="00994CEF" w:rsidP="005652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Den skrattande polisen</w:t>
      </w:r>
    </w:p>
    <w:p w14:paraId="18F99C65" w14:textId="6948AD8A" w:rsidR="00565208" w:rsidRDefault="00994CEF" w:rsidP="005652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026D9340" wp14:editId="225F7FCF">
            <wp:extent cx="1569414" cy="2092118"/>
            <wp:effectExtent l="0" t="0" r="0" b="3810"/>
            <wp:docPr id="2" name="Billede 2" descr="DEN SKRATTANDE POLISEN / WALTER MATTHAU/ SJÖVWALL &amp; WAHLÖÖ/ STUDIO S s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SKRATTANDE POLISEN / WALTER MATTHAU/ SJÖVWALL &amp; WAHLÖÖ/ STUDIO S s3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40" cy="21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208">
        <w:rPr>
          <w:noProof/>
          <w:lang w:eastAsia="da-DK"/>
        </w:rPr>
        <w:drawing>
          <wp:inline distT="0" distB="0" distL="0" distR="0" wp14:anchorId="4A2CAD96" wp14:editId="281219A7">
            <wp:extent cx="2581028" cy="1452282"/>
            <wp:effectExtent l="0" t="0" r="0" b="0"/>
            <wp:docPr id="1" name="Billede 1" descr="Billedresultat for martin beck og gunvald lar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martin beck og gunvald lars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26" cy="14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15B8" w14:textId="77777777" w:rsidR="0038621B" w:rsidRPr="0038621B" w:rsidRDefault="0038621B" w:rsidP="00C713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 w:rsidRPr="003862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Læringsmål</w:t>
      </w:r>
    </w:p>
    <w:p w14:paraId="2FCD122E" w14:textId="77777777" w:rsidR="0038621B" w:rsidRPr="0038621B" w:rsidRDefault="0038621B" w:rsidP="00C713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 w:rsidRPr="003862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Jeg kan</w:t>
      </w:r>
    </w:p>
    <w:p w14:paraId="693F3C7C" w14:textId="77777777" w:rsidR="0038621B" w:rsidRPr="0038621B" w:rsidRDefault="0038621B" w:rsidP="0038621B">
      <w:pPr>
        <w:pStyle w:val="Listeafsnit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</w:pPr>
      <w:r w:rsidRPr="003862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l</w:t>
      </w:r>
      <w:r w:rsidR="00B144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 xml:space="preserve">ave en stilistisk analyse af </w:t>
      </w:r>
      <w:r w:rsidRPr="003862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tekst</w:t>
      </w:r>
      <w:r w:rsidR="00B144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en</w:t>
      </w:r>
      <w:r w:rsidRPr="003862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s ordvalg og sætningsopbygning</w:t>
      </w:r>
      <w:r w:rsidR="00B144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 xml:space="preserve"> ved hjælp af begreberne litote, eufemisme, hyperbel og ironi. </w:t>
      </w:r>
    </w:p>
    <w:p w14:paraId="3A004FB7" w14:textId="77777777" w:rsidR="0038621B" w:rsidRPr="0038621B" w:rsidRDefault="00B1448B" w:rsidP="0038621B">
      <w:pPr>
        <w:pStyle w:val="Listeafsnit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Fortolke tekstens budskab ud fra min karakteristik af skrivestilen.</w:t>
      </w:r>
    </w:p>
    <w:p w14:paraId="38FF042F" w14:textId="6F30C0C6" w:rsidR="0038621B" w:rsidRPr="0038621B" w:rsidRDefault="00CA1DCF" w:rsidP="00C7136C">
      <w:pPr>
        <w:pStyle w:val="Listeafsnit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genkende og kort definere det for genren nyskabende ved den skandinaviske krimi</w:t>
      </w:r>
      <w:r w:rsidR="0038621B" w:rsidRPr="003862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.</w:t>
      </w:r>
    </w:p>
    <w:p w14:paraId="2A505DB6" w14:textId="77777777" w:rsidR="00E01676" w:rsidRDefault="00E01676" w:rsidP="00C713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Grupper</w:t>
      </w:r>
    </w:p>
    <w:p w14:paraId="6DE24CDC" w14:textId="0316C181" w:rsidR="004A2377" w:rsidRPr="004935BB" w:rsidRDefault="004935BB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4935B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Hila, Melike,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Anna</w:t>
      </w:r>
      <w:r w:rsidR="00BD7153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og </w:t>
      </w:r>
      <w:r w:rsidRPr="004935B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Tobias</w:t>
      </w:r>
    </w:p>
    <w:p w14:paraId="4EE59A12" w14:textId="4060B70A" w:rsidR="004935BB" w:rsidRDefault="004935BB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</w:pPr>
      <w:r w:rsidRPr="004935BB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 xml:space="preserve">Sofia, Benedicte, </w:t>
      </w:r>
      <w:r w:rsidR="00BD7153" w:rsidRPr="00BD7153">
        <w:rPr>
          <w:rFonts w:ascii="Times New Roman" w:eastAsia="Times New Roman" w:hAnsi="Times New Roman" w:cs="Times New Roman"/>
          <w:sz w:val="24"/>
          <w:szCs w:val="24"/>
          <w:lang w:val="it-IT" w:eastAsia="da-DK"/>
        </w:rPr>
        <w:t>Maja,</w:t>
      </w:r>
      <w:r w:rsidR="00BD7153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 xml:space="preserve"> og </w:t>
      </w:r>
      <w:r w:rsidRPr="004935BB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Isabella</w:t>
      </w:r>
    </w:p>
    <w:p w14:paraId="73039B5D" w14:textId="3FA116C6" w:rsidR="004935BB" w:rsidRDefault="004935BB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Angel, Hannah, Rosa, Susana</w:t>
      </w:r>
      <w:r w:rsidR="0078258C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, Ida-Marie</w:t>
      </w:r>
    </w:p>
    <w:p w14:paraId="0B6D4C6B" w14:textId="3FCDEFAE" w:rsidR="004935BB" w:rsidRDefault="004935BB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4935B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Ida-Emilie, Noah, Ida P. og 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reja</w:t>
      </w:r>
    </w:p>
    <w:p w14:paraId="0B03C2A3" w14:textId="77777777" w:rsidR="00BD7153" w:rsidRDefault="004935BB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</w:pPr>
      <w:r w:rsidRPr="0078258C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Camila, Beyza, Nicolai, Gry</w:t>
      </w:r>
      <w:r w:rsidR="0078258C" w:rsidRPr="0078258C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, P</w:t>
      </w:r>
      <w:r w:rsidR="0078258C"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hilip</w:t>
      </w:r>
    </w:p>
    <w:p w14:paraId="0F695FE4" w14:textId="0430F20B" w:rsidR="004935BB" w:rsidRPr="0078258C" w:rsidRDefault="00BD7153" w:rsidP="004935BB">
      <w:pPr>
        <w:pStyle w:val="Listeafsnit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it-IT" w:eastAsia="da-DK"/>
        </w:rPr>
        <w:t>Senia, Sofie, Conrad, Kiraz</w:t>
      </w:r>
    </w:p>
    <w:p w14:paraId="6A9C8F15" w14:textId="77777777" w:rsidR="00C7136C" w:rsidRPr="0038621B" w:rsidRDefault="00AB44C3" w:rsidP="00C713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a-DK"/>
        </w:rPr>
        <w:t>Spørgsmål til analyse</w:t>
      </w:r>
    </w:p>
    <w:p w14:paraId="1329FB9D" w14:textId="5EEAFDCA" w:rsidR="0038621B" w:rsidRDefault="0038621B" w:rsidP="00D230F5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38621B">
        <w:rPr>
          <w:rFonts w:ascii="Times New Roman" w:hAnsi="Times New Roman" w:cs="Times New Roman"/>
          <w:sz w:val="24"/>
          <w:szCs w:val="24"/>
        </w:rPr>
        <w:t>Hvilke</w:t>
      </w:r>
      <w:r w:rsidR="00C7136C" w:rsidRPr="0038621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ordklasser dominerer i teksten? </w:t>
      </w:r>
    </w:p>
    <w:p w14:paraId="4CA6677D" w14:textId="77777777" w:rsidR="00B1448B" w:rsidRPr="00B1448B" w:rsidRDefault="00223A68" w:rsidP="00D230F5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 xml:space="preserve">Find mindst to eksempler på tekstens brug af </w:t>
      </w:r>
      <w:r w:rsidR="00B144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da-DK"/>
        </w:rPr>
        <w:t>litote, eufemisme, hyperbel og ironi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CFBC1" w14:textId="77777777" w:rsidR="00223A68" w:rsidRDefault="00223A68" w:rsidP="00C4647C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Undersøg sætningsopbygning og kig særligt på s. 6 øverst </w:t>
      </w:r>
      <w:r w:rsidRPr="00223A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da-DK"/>
        </w:rPr>
        <w:t>Tilbage var dem</w:t>
      </w:r>
      <w:r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.. afsnittet s. 8, der starter med </w:t>
      </w:r>
      <w:r w:rsidRPr="00223A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da-DK"/>
        </w:rPr>
        <w:t>Intet sted i byen</w:t>
      </w:r>
      <w:r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… </w:t>
      </w:r>
      <w:r w:rsidR="00C7136C"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Hvordan er sætningerne bygget op? Er sætningerne enkle eller komplicerede? </w:t>
      </w:r>
      <w:r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Hvornår b</w:t>
      </w:r>
      <w:r w:rsidR="00C7136C" w:rsidRPr="00223A68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ruges der lange eller korte perioder, sideordnede eller underordnede sætninger, mange eller få ledsætninger, forvægt eller bagvægt eller ufuldstændige sætninger? </w:t>
      </w:r>
    </w:p>
    <w:p w14:paraId="19C82DB0" w14:textId="22D7E58B" w:rsidR="00AB44C3" w:rsidRPr="00AB44C3" w:rsidRDefault="00AB44C3" w:rsidP="00C7136C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da-DK"/>
        </w:rPr>
        <w:t>På hvilken måde adskiller tekstens præsentation af forbrydelsen sig fra Conan Doyle</w:t>
      </w:r>
      <w:r w:rsidR="0032293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da-DK"/>
        </w:rPr>
        <w:t xml:space="preserve">s </w:t>
      </w:r>
      <w:r w:rsidR="0032293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da-DK"/>
        </w:rPr>
        <w:t>Det brogede bånd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da-DK"/>
        </w:rPr>
        <w:t xml:space="preserve">? </w:t>
      </w:r>
    </w:p>
    <w:p w14:paraId="6028C8CE" w14:textId="77777777" w:rsidR="00AB44C3" w:rsidRPr="00AB44C3" w:rsidRDefault="00AB44C3" w:rsidP="007E01AF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AB44C3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Hvilken sammenhæng kan der tænkes at være mellem den sproglige stil og tek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stens tema</w:t>
      </w:r>
      <w:r w:rsidRPr="00AB44C3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? </w:t>
      </w:r>
      <w:r w:rsidR="00C7136C" w:rsidRPr="00AB44C3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</w:t>
      </w:r>
    </w:p>
    <w:p w14:paraId="5D91FEC2" w14:textId="148C8F99" w:rsidR="00322937" w:rsidRDefault="00C7136C" w:rsidP="00322937">
      <w:pPr>
        <w:numPr>
          <w:ilvl w:val="0"/>
          <w:numId w:val="4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38621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</w:t>
      </w:r>
      <w:r w:rsidR="00322937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ilke </w:t>
      </w:r>
      <w:r w:rsidRPr="0038621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ligheder </w:t>
      </w:r>
      <w:r w:rsidR="00322937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har teksten </w:t>
      </w:r>
      <w:r w:rsidRPr="0038621B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med tekster fra andre perioder?   </w:t>
      </w:r>
    </w:p>
    <w:p w14:paraId="05C8AE0E" w14:textId="045D0968" w:rsidR="00322937" w:rsidRPr="00322937" w:rsidRDefault="00322937" w:rsidP="00322937">
      <w:pPr>
        <w:numPr>
          <w:ilvl w:val="0"/>
          <w:numId w:val="4"/>
        </w:num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lastRenderedPageBreak/>
        <w:t xml:space="preserve">Ekstraopgave til de snarrådige: </w:t>
      </w:r>
      <w:r w:rsidRPr="00322937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Læs nedenstående sekundære tekst og find eksempler på de karakteristika, som udover at skabe spænding omkring opklaringen af en forbrydelse, lader så til at være tekstens formål?</w:t>
      </w:r>
    </w:p>
    <w:p w14:paraId="510D497A" w14:textId="77777777" w:rsidR="00322937" w:rsidRDefault="00322937" w:rsidP="00322937">
      <w:pPr>
        <w:shd w:val="clear" w:color="auto" w:fill="FFFFFF"/>
        <w:spacing w:after="74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4FFF053A" w14:textId="77777777" w:rsidR="00AB44C3" w:rsidRDefault="00AB44C3" w:rsidP="00AB44C3">
      <w:pPr>
        <w:shd w:val="clear" w:color="auto" w:fill="FFFFFF"/>
        <w:spacing w:after="7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05786B46" w14:textId="77777777" w:rsidR="00AB44C3" w:rsidRPr="00E01676" w:rsidRDefault="00AB44C3" w:rsidP="00AB44C3">
      <w:pPr>
        <w:shd w:val="clear" w:color="auto" w:fill="FFFFFF"/>
        <w:spacing w:after="7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da-DK"/>
        </w:rPr>
      </w:pPr>
      <w:r w:rsidRPr="00E016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da-DK"/>
        </w:rPr>
        <w:t>Sekundær tekst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C3" w14:paraId="311B8BB3" w14:textId="77777777" w:rsidTr="00AB44C3">
        <w:tc>
          <w:tcPr>
            <w:tcW w:w="9628" w:type="dxa"/>
          </w:tcPr>
          <w:p w14:paraId="77B810CD" w14:textId="77777777" w:rsidR="00E01676" w:rsidRDefault="00AB44C3" w:rsidP="00E01676">
            <w:pPr>
              <w:shd w:val="clear" w:color="auto" w:fill="FFFFFF"/>
              <w:spacing w:before="225" w:after="336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 xml:space="preserve">De to forfattere </w:t>
            </w:r>
            <w:r w:rsidR="005652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 xml:space="preserve">[Maj Sjöwall og Per Wahlöö] </w:t>
            </w: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var erklærede marxister og betragtede romanerne som en del af deres politiske projekt.</w:t>
            </w:r>
          </w:p>
          <w:p w14:paraId="6B698766" w14:textId="77777777" w:rsidR="00AB44C3" w:rsidRPr="00AB44C3" w:rsidRDefault="00AB44C3" w:rsidP="00E01676">
            <w:pPr>
              <w:shd w:val="clear" w:color="auto" w:fill="FFFFFF"/>
              <w:spacing w:before="225" w:after="336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I Martin Beck-romanerne satte de fingeren på svagheder i den svenske velfærdsstat, på klasseskel og sociale forhold som roden til kriminalitet. Dermed var de i pagt med tidsånden, hvor alt i samfundet var til diskussion og revision.</w:t>
            </w:r>
          </w:p>
          <w:p w14:paraId="4A7C48DE" w14:textId="77777777" w:rsidR="00AB44C3" w:rsidRPr="00AB44C3" w:rsidRDefault="00AB44C3" w:rsidP="00E01676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Romanerne blev til i årene 1965-75, én om året, alle i dag klassikere, alle filmatiserede. Selv så de dem som et stort, sammenhængende værk, som de markedsførte under titlen </w:t>
            </w:r>
            <w:r w:rsidRPr="00AB44C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da-DK"/>
              </w:rPr>
              <w:t>Roman om en forbrydelse.</w:t>
            </w:r>
          </w:p>
          <w:p w14:paraId="1D044D62" w14:textId="77777777" w:rsidR="00AB44C3" w:rsidRPr="00AB44C3" w:rsidRDefault="00AB44C3" w:rsidP="00E01676">
            <w:pPr>
              <w:shd w:val="clear" w:color="auto" w:fill="FFFFFF"/>
              <w:spacing w:before="225" w:after="336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Hvorfor kun en enkelt, der var jo mange? De ville markere, at i deres optik bestod den overordnede forbrydelse i, at det svenske socialdemokrati havde svigtet vælgerne fra arbejderklassen. Således skåret ud i pap.</w:t>
            </w:r>
          </w:p>
          <w:p w14:paraId="49196F2F" w14:textId="77777777" w:rsidR="00AB44C3" w:rsidRDefault="00AB44C3" w:rsidP="00E01676">
            <w:pPr>
              <w:spacing w:after="74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AB44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Det andet nye var, at de inkorporerede politifolkenes privatliv i deres historier i hidtil uset grad. Martin Beck havde som udgangspunkt et problematisk ægteskab, der da heller ikke holdt. Det lagde en ekstra skrue, et ekstra pres, på ham i det omfang, han havde tid til et privatliv, når arbejdet opslugte ham.</w:t>
            </w:r>
          </w:p>
          <w:p w14:paraId="6FCB3BF5" w14:textId="77777777" w:rsidR="00E01676" w:rsidRDefault="00E01676" w:rsidP="00E01676">
            <w:pPr>
              <w:spacing w:after="74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</w:p>
          <w:p w14:paraId="62C816B2" w14:textId="77777777" w:rsidR="00E01676" w:rsidRDefault="00000000" w:rsidP="00E01676">
            <w:pPr>
              <w:spacing w:after="74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hyperlink r:id="rId7" w:history="1">
              <w:r w:rsidR="00E01676">
                <w:rPr>
                  <w:rStyle w:val="Hyperlink"/>
                </w:rPr>
                <w:t>https://www.information.dk/kultur/2018/07/maj-sjowall-per-wahloo-skabte-moderne-skandinaviske-kriminalroman</w:t>
              </w:r>
            </w:hyperlink>
            <w:r w:rsidR="00E01676">
              <w:t>, hentet 2.december 2019, kl. 07:52</w:t>
            </w:r>
          </w:p>
        </w:tc>
      </w:tr>
    </w:tbl>
    <w:p w14:paraId="08CB0E20" w14:textId="77777777" w:rsidR="00AB44C3" w:rsidRPr="0038621B" w:rsidRDefault="00AB44C3" w:rsidP="00AB44C3">
      <w:pPr>
        <w:shd w:val="clear" w:color="auto" w:fill="FFFFFF"/>
        <w:spacing w:after="7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p w14:paraId="70E988A9" w14:textId="77777777" w:rsidR="00000000" w:rsidRPr="0038621B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4D0D16" w:rsidRPr="003862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175"/>
    <w:multiLevelType w:val="hybridMultilevel"/>
    <w:tmpl w:val="8474D57E"/>
    <w:lvl w:ilvl="0" w:tplc="8F4AA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BDF"/>
    <w:multiLevelType w:val="multilevel"/>
    <w:tmpl w:val="4DB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27F4"/>
    <w:multiLevelType w:val="hybridMultilevel"/>
    <w:tmpl w:val="F0E66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0433A"/>
    <w:multiLevelType w:val="hybridMultilevel"/>
    <w:tmpl w:val="9A8EB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6E27"/>
    <w:multiLevelType w:val="multilevel"/>
    <w:tmpl w:val="25A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0053B"/>
    <w:multiLevelType w:val="multilevel"/>
    <w:tmpl w:val="ABB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C5FEC"/>
    <w:multiLevelType w:val="multilevel"/>
    <w:tmpl w:val="37C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186622">
    <w:abstractNumId w:val="1"/>
  </w:num>
  <w:num w:numId="2" w16cid:durableId="901060231">
    <w:abstractNumId w:val="4"/>
  </w:num>
  <w:num w:numId="3" w16cid:durableId="636497249">
    <w:abstractNumId w:val="5"/>
  </w:num>
  <w:num w:numId="4" w16cid:durableId="487015798">
    <w:abstractNumId w:val="6"/>
  </w:num>
  <w:num w:numId="5" w16cid:durableId="1655453219">
    <w:abstractNumId w:val="0"/>
  </w:num>
  <w:num w:numId="6" w16cid:durableId="892691780">
    <w:abstractNumId w:val="3"/>
  </w:num>
  <w:num w:numId="7" w16cid:durableId="23986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6C"/>
    <w:rsid w:val="00223A68"/>
    <w:rsid w:val="00307E6B"/>
    <w:rsid w:val="00322937"/>
    <w:rsid w:val="00353A56"/>
    <w:rsid w:val="0038621B"/>
    <w:rsid w:val="00460E47"/>
    <w:rsid w:val="004935BB"/>
    <w:rsid w:val="004A2377"/>
    <w:rsid w:val="00565208"/>
    <w:rsid w:val="005979ED"/>
    <w:rsid w:val="006941B9"/>
    <w:rsid w:val="0078258C"/>
    <w:rsid w:val="00994CEF"/>
    <w:rsid w:val="00AB44C3"/>
    <w:rsid w:val="00AF6F22"/>
    <w:rsid w:val="00B1448B"/>
    <w:rsid w:val="00B85AA2"/>
    <w:rsid w:val="00BD7153"/>
    <w:rsid w:val="00BE0B83"/>
    <w:rsid w:val="00C7136C"/>
    <w:rsid w:val="00CA1DCF"/>
    <w:rsid w:val="00E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D7AC"/>
  <w15:chartTrackingRefBased/>
  <w15:docId w15:val="{B1A6BB89-9DB0-4866-B8BF-9493072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C7136C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7136C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C7136C"/>
    <w:rPr>
      <w:b/>
      <w:bCs/>
    </w:rPr>
  </w:style>
  <w:style w:type="paragraph" w:styleId="Listeafsnit">
    <w:name w:val="List Paragraph"/>
    <w:basedOn w:val="Normal"/>
    <w:uiPriority w:val="34"/>
    <w:qFormat/>
    <w:rsid w:val="0038621B"/>
    <w:pPr>
      <w:ind w:left="720"/>
      <w:contextualSpacing/>
    </w:pPr>
  </w:style>
  <w:style w:type="table" w:styleId="Tabel-Gitter">
    <w:name w:val="Table Grid"/>
    <w:basedOn w:val="Tabel-Normal"/>
    <w:uiPriority w:val="39"/>
    <w:rsid w:val="00A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rmation.dk/kultur/2018/07/maj-sjowall-per-wahloo-skabte-moderne-skandinaviske-kriminalro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485</Words>
  <Characters>2411</Characters>
  <Application>Microsoft Office Word</Application>
  <DocSecurity>0</DocSecurity>
  <Lines>83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8</cp:revision>
  <dcterms:created xsi:type="dcterms:W3CDTF">2022-11-08T09:22:00Z</dcterms:created>
  <dcterms:modified xsi:type="dcterms:W3CDTF">2023-12-06T09:12:00Z</dcterms:modified>
</cp:coreProperties>
</file>