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A1DC" w14:textId="5068A1B4" w:rsidR="004276DC" w:rsidRPr="004122D6" w:rsidRDefault="00220303">
      <w:pPr>
        <w:rPr>
          <w:b/>
          <w:bCs/>
          <w:sz w:val="28"/>
          <w:szCs w:val="28"/>
          <w:lang w:val="en-US"/>
        </w:rPr>
      </w:pPr>
      <w:r w:rsidRPr="004122D6">
        <w:rPr>
          <w:b/>
          <w:bCs/>
          <w:sz w:val="28"/>
          <w:szCs w:val="28"/>
          <w:lang w:val="en-US"/>
        </w:rPr>
        <w:t>3iSA. Worksheet on discourse analysis intro.</w:t>
      </w:r>
    </w:p>
    <w:p w14:paraId="72BAAE0D" w14:textId="276360E2" w:rsidR="00220303" w:rsidRPr="00220303" w:rsidRDefault="00220303" w:rsidP="00220303">
      <w:pPr>
        <w:pStyle w:val="Listeafsnit"/>
        <w:numPr>
          <w:ilvl w:val="0"/>
          <w:numId w:val="1"/>
        </w:numPr>
        <w:rPr>
          <w:b/>
          <w:bCs/>
          <w:lang w:val="en-US"/>
        </w:rPr>
      </w:pPr>
      <w:r w:rsidRPr="00220303">
        <w:rPr>
          <w:b/>
          <w:bCs/>
          <w:lang w:val="en-US"/>
        </w:rPr>
        <w:t xml:space="preserve">Word pairs. Make up – ok to get </w:t>
      </w:r>
      <w:r>
        <w:rPr>
          <w:b/>
          <w:bCs/>
          <w:lang w:val="en-US"/>
        </w:rPr>
        <w:t xml:space="preserve">help </w:t>
      </w:r>
      <w:r w:rsidRPr="00220303">
        <w:rPr>
          <w:b/>
          <w:bCs/>
          <w:lang w:val="en-US"/>
        </w:rPr>
        <w:t>from AI – positive and negative-loaded words/expressions related to the different nodalpoints below.</w:t>
      </w:r>
    </w:p>
    <w:tbl>
      <w:tblPr>
        <w:tblStyle w:val="Tabel-Gitter"/>
        <w:tblW w:w="0" w:type="auto"/>
        <w:tblLook w:val="04A0" w:firstRow="1" w:lastRow="0" w:firstColumn="1" w:lastColumn="0" w:noHBand="0" w:noVBand="1"/>
      </w:tblPr>
      <w:tblGrid>
        <w:gridCol w:w="4814"/>
        <w:gridCol w:w="4814"/>
      </w:tblGrid>
      <w:tr w:rsidR="00220303" w14:paraId="0386E1F6" w14:textId="77777777" w:rsidTr="00771227">
        <w:tc>
          <w:tcPr>
            <w:tcW w:w="9628" w:type="dxa"/>
            <w:gridSpan w:val="2"/>
          </w:tcPr>
          <w:p w14:paraId="0EB9A8A1" w14:textId="12FB555A" w:rsidR="00220303" w:rsidRPr="00220303" w:rsidRDefault="00220303">
            <w:pPr>
              <w:rPr>
                <w:b/>
                <w:bCs/>
                <w:lang w:val="en-US"/>
              </w:rPr>
            </w:pPr>
            <w:r w:rsidRPr="00220303">
              <w:rPr>
                <w:b/>
                <w:bCs/>
                <w:lang w:val="en-US"/>
              </w:rPr>
              <w:t>NODALPOINT: IMMIGRATION</w:t>
            </w:r>
          </w:p>
        </w:tc>
      </w:tr>
      <w:tr w:rsidR="00220303" w:rsidRPr="005D6D45" w14:paraId="2C168FA6" w14:textId="77777777" w:rsidTr="00220303">
        <w:tc>
          <w:tcPr>
            <w:tcW w:w="4814" w:type="dxa"/>
          </w:tcPr>
          <w:p w14:paraId="68975A0E" w14:textId="2DAE3774" w:rsidR="00220303" w:rsidRDefault="00220303">
            <w:pPr>
              <w:rPr>
                <w:lang w:val="en-US"/>
              </w:rPr>
            </w:pPr>
            <w:r>
              <w:rPr>
                <w:lang w:val="en-US"/>
              </w:rPr>
              <w:t>Positive words/connotations (=chain of equivalence)</w:t>
            </w:r>
          </w:p>
        </w:tc>
        <w:tc>
          <w:tcPr>
            <w:tcW w:w="4814" w:type="dxa"/>
          </w:tcPr>
          <w:p w14:paraId="1166B410" w14:textId="51CD6A63" w:rsidR="00220303" w:rsidRDefault="00220303">
            <w:pPr>
              <w:rPr>
                <w:lang w:val="en-US"/>
              </w:rPr>
            </w:pPr>
            <w:r>
              <w:rPr>
                <w:lang w:val="en-US"/>
              </w:rPr>
              <w:t xml:space="preserve">Negative words/connotations (= chain of difference) </w:t>
            </w:r>
          </w:p>
        </w:tc>
      </w:tr>
      <w:tr w:rsidR="00220303" w:rsidRPr="005D6D45" w14:paraId="28863FE0" w14:textId="77777777" w:rsidTr="00220303">
        <w:tc>
          <w:tcPr>
            <w:tcW w:w="4814" w:type="dxa"/>
          </w:tcPr>
          <w:p w14:paraId="721099CB" w14:textId="77777777" w:rsidR="00220303" w:rsidRDefault="00220303">
            <w:pPr>
              <w:rPr>
                <w:lang w:val="en-US"/>
              </w:rPr>
            </w:pPr>
          </w:p>
          <w:p w14:paraId="61664C93" w14:textId="77777777" w:rsidR="00220303" w:rsidRDefault="00220303">
            <w:pPr>
              <w:rPr>
                <w:lang w:val="en-US"/>
              </w:rPr>
            </w:pPr>
          </w:p>
          <w:p w14:paraId="789191DE" w14:textId="77777777" w:rsidR="00220303" w:rsidRDefault="00220303">
            <w:pPr>
              <w:rPr>
                <w:lang w:val="en-US"/>
              </w:rPr>
            </w:pPr>
          </w:p>
        </w:tc>
        <w:tc>
          <w:tcPr>
            <w:tcW w:w="4814" w:type="dxa"/>
          </w:tcPr>
          <w:p w14:paraId="417EEA60" w14:textId="77777777" w:rsidR="00220303" w:rsidRDefault="00220303">
            <w:pPr>
              <w:rPr>
                <w:lang w:val="en-US"/>
              </w:rPr>
            </w:pPr>
          </w:p>
          <w:p w14:paraId="315D5DB0" w14:textId="77777777" w:rsidR="005D6D45" w:rsidRDefault="005D6D45">
            <w:pPr>
              <w:rPr>
                <w:lang w:val="en-US"/>
              </w:rPr>
            </w:pPr>
          </w:p>
          <w:p w14:paraId="5A95C378" w14:textId="77777777" w:rsidR="005D6D45" w:rsidRDefault="005D6D45">
            <w:pPr>
              <w:rPr>
                <w:lang w:val="en-US"/>
              </w:rPr>
            </w:pPr>
          </w:p>
          <w:p w14:paraId="374AE6AF" w14:textId="77777777" w:rsidR="005D6D45" w:rsidRDefault="005D6D45">
            <w:pPr>
              <w:rPr>
                <w:lang w:val="en-US"/>
              </w:rPr>
            </w:pPr>
          </w:p>
          <w:p w14:paraId="0395E531" w14:textId="77777777" w:rsidR="005D6D45" w:rsidRDefault="005D6D45">
            <w:pPr>
              <w:rPr>
                <w:lang w:val="en-US"/>
              </w:rPr>
            </w:pPr>
          </w:p>
        </w:tc>
      </w:tr>
    </w:tbl>
    <w:p w14:paraId="442E6D02" w14:textId="2ED56D6E" w:rsidR="00220303" w:rsidRDefault="00220303">
      <w:pPr>
        <w:rPr>
          <w:lang w:val="en-US"/>
        </w:rPr>
      </w:pPr>
    </w:p>
    <w:tbl>
      <w:tblPr>
        <w:tblStyle w:val="Tabel-Gitter"/>
        <w:tblW w:w="0" w:type="auto"/>
        <w:tblLook w:val="04A0" w:firstRow="1" w:lastRow="0" w:firstColumn="1" w:lastColumn="0" w:noHBand="0" w:noVBand="1"/>
      </w:tblPr>
      <w:tblGrid>
        <w:gridCol w:w="4814"/>
        <w:gridCol w:w="4814"/>
      </w:tblGrid>
      <w:tr w:rsidR="00220303" w14:paraId="1BF597CE" w14:textId="77777777" w:rsidTr="00771227">
        <w:tc>
          <w:tcPr>
            <w:tcW w:w="9628" w:type="dxa"/>
            <w:gridSpan w:val="2"/>
          </w:tcPr>
          <w:p w14:paraId="40C335D9" w14:textId="7C6A48DC" w:rsidR="00220303" w:rsidRPr="00220303" w:rsidRDefault="00220303" w:rsidP="00771227">
            <w:pPr>
              <w:rPr>
                <w:b/>
                <w:bCs/>
                <w:lang w:val="en-US"/>
              </w:rPr>
            </w:pPr>
            <w:r w:rsidRPr="00220303">
              <w:rPr>
                <w:b/>
                <w:bCs/>
                <w:lang w:val="en-US"/>
              </w:rPr>
              <w:t xml:space="preserve">NODALPOINT: </w:t>
            </w:r>
            <w:r w:rsidR="00EB5731">
              <w:rPr>
                <w:b/>
                <w:bCs/>
                <w:lang w:val="en-US"/>
              </w:rPr>
              <w:t>DEMOCRACY</w:t>
            </w:r>
          </w:p>
        </w:tc>
      </w:tr>
      <w:tr w:rsidR="00220303" w14:paraId="172ED4AC" w14:textId="77777777" w:rsidTr="00771227">
        <w:tc>
          <w:tcPr>
            <w:tcW w:w="4814" w:type="dxa"/>
          </w:tcPr>
          <w:p w14:paraId="37CD88BC" w14:textId="77777777" w:rsidR="00220303" w:rsidRDefault="00220303" w:rsidP="00771227">
            <w:pPr>
              <w:rPr>
                <w:lang w:val="en-US"/>
              </w:rPr>
            </w:pPr>
            <w:r>
              <w:rPr>
                <w:lang w:val="en-US"/>
              </w:rPr>
              <w:t>Positive words/connotations</w:t>
            </w:r>
          </w:p>
        </w:tc>
        <w:tc>
          <w:tcPr>
            <w:tcW w:w="4814" w:type="dxa"/>
          </w:tcPr>
          <w:p w14:paraId="63037866" w14:textId="77777777" w:rsidR="00220303" w:rsidRDefault="00220303" w:rsidP="00771227">
            <w:pPr>
              <w:rPr>
                <w:lang w:val="en-US"/>
              </w:rPr>
            </w:pPr>
            <w:r>
              <w:rPr>
                <w:lang w:val="en-US"/>
              </w:rPr>
              <w:t>Negative words/connotations</w:t>
            </w:r>
          </w:p>
        </w:tc>
      </w:tr>
      <w:tr w:rsidR="00220303" w14:paraId="093578B8" w14:textId="77777777" w:rsidTr="00771227">
        <w:tc>
          <w:tcPr>
            <w:tcW w:w="4814" w:type="dxa"/>
          </w:tcPr>
          <w:p w14:paraId="7AA1885F" w14:textId="77777777" w:rsidR="00220303" w:rsidRDefault="00220303" w:rsidP="00771227">
            <w:pPr>
              <w:rPr>
                <w:lang w:val="en-US"/>
              </w:rPr>
            </w:pPr>
          </w:p>
          <w:p w14:paraId="21F9A611" w14:textId="77777777" w:rsidR="00220303" w:rsidRDefault="00220303" w:rsidP="00771227">
            <w:pPr>
              <w:rPr>
                <w:lang w:val="en-US"/>
              </w:rPr>
            </w:pPr>
          </w:p>
          <w:p w14:paraId="1632E05F" w14:textId="77777777" w:rsidR="005D6D45" w:rsidRDefault="005D6D45" w:rsidP="00771227">
            <w:pPr>
              <w:rPr>
                <w:lang w:val="en-US"/>
              </w:rPr>
            </w:pPr>
          </w:p>
          <w:p w14:paraId="10E9ED09" w14:textId="77777777" w:rsidR="005D6D45" w:rsidRDefault="005D6D45" w:rsidP="00771227">
            <w:pPr>
              <w:rPr>
                <w:lang w:val="en-US"/>
              </w:rPr>
            </w:pPr>
          </w:p>
          <w:p w14:paraId="01648FE7" w14:textId="77777777" w:rsidR="00220303" w:rsidRDefault="00220303" w:rsidP="00771227">
            <w:pPr>
              <w:rPr>
                <w:lang w:val="en-US"/>
              </w:rPr>
            </w:pPr>
          </w:p>
        </w:tc>
        <w:tc>
          <w:tcPr>
            <w:tcW w:w="4814" w:type="dxa"/>
          </w:tcPr>
          <w:p w14:paraId="09F14D77" w14:textId="77777777" w:rsidR="00220303" w:rsidRDefault="00220303" w:rsidP="00771227">
            <w:pPr>
              <w:rPr>
                <w:lang w:val="en-US"/>
              </w:rPr>
            </w:pPr>
          </w:p>
        </w:tc>
      </w:tr>
    </w:tbl>
    <w:p w14:paraId="155D8BA7" w14:textId="77777777" w:rsidR="00220303" w:rsidRDefault="00220303">
      <w:pPr>
        <w:rPr>
          <w:lang w:val="en-US"/>
        </w:rPr>
      </w:pPr>
    </w:p>
    <w:tbl>
      <w:tblPr>
        <w:tblStyle w:val="Tabel-Gitter"/>
        <w:tblW w:w="0" w:type="auto"/>
        <w:tblLook w:val="04A0" w:firstRow="1" w:lastRow="0" w:firstColumn="1" w:lastColumn="0" w:noHBand="0" w:noVBand="1"/>
      </w:tblPr>
      <w:tblGrid>
        <w:gridCol w:w="4814"/>
        <w:gridCol w:w="4814"/>
      </w:tblGrid>
      <w:tr w:rsidR="00220303" w14:paraId="315C9E42" w14:textId="77777777" w:rsidTr="00771227">
        <w:tc>
          <w:tcPr>
            <w:tcW w:w="9628" w:type="dxa"/>
            <w:gridSpan w:val="2"/>
          </w:tcPr>
          <w:p w14:paraId="6364E972" w14:textId="4C71E800" w:rsidR="00220303" w:rsidRPr="00220303" w:rsidRDefault="00220303" w:rsidP="00771227">
            <w:pPr>
              <w:rPr>
                <w:b/>
                <w:bCs/>
                <w:lang w:val="en-US"/>
              </w:rPr>
            </w:pPr>
            <w:r w:rsidRPr="00220303">
              <w:rPr>
                <w:b/>
                <w:bCs/>
                <w:lang w:val="en-US"/>
              </w:rPr>
              <w:t xml:space="preserve">NODALPOINT: </w:t>
            </w:r>
            <w:r w:rsidR="00EB5731">
              <w:rPr>
                <w:b/>
                <w:bCs/>
                <w:lang w:val="en-US"/>
              </w:rPr>
              <w:t>EQUALITY</w:t>
            </w:r>
          </w:p>
        </w:tc>
      </w:tr>
      <w:tr w:rsidR="00220303" w14:paraId="0DD0F0E3" w14:textId="77777777" w:rsidTr="00771227">
        <w:tc>
          <w:tcPr>
            <w:tcW w:w="4814" w:type="dxa"/>
          </w:tcPr>
          <w:p w14:paraId="4930120F" w14:textId="22E3807A" w:rsidR="00220303" w:rsidRDefault="00220303" w:rsidP="00771227">
            <w:pPr>
              <w:rPr>
                <w:lang w:val="en-US"/>
              </w:rPr>
            </w:pPr>
            <w:r>
              <w:rPr>
                <w:lang w:val="en-US"/>
              </w:rPr>
              <w:t>Positive words/connotations</w:t>
            </w:r>
          </w:p>
        </w:tc>
        <w:tc>
          <w:tcPr>
            <w:tcW w:w="4814" w:type="dxa"/>
          </w:tcPr>
          <w:p w14:paraId="5431993F" w14:textId="77777777" w:rsidR="00220303" w:rsidRDefault="00220303" w:rsidP="00771227">
            <w:pPr>
              <w:rPr>
                <w:lang w:val="en-US"/>
              </w:rPr>
            </w:pPr>
            <w:r>
              <w:rPr>
                <w:lang w:val="en-US"/>
              </w:rPr>
              <w:t>Negative words/connotations</w:t>
            </w:r>
          </w:p>
        </w:tc>
      </w:tr>
      <w:tr w:rsidR="00220303" w14:paraId="19ED85C7" w14:textId="77777777" w:rsidTr="00771227">
        <w:tc>
          <w:tcPr>
            <w:tcW w:w="4814" w:type="dxa"/>
          </w:tcPr>
          <w:p w14:paraId="23B5F6A1" w14:textId="77777777" w:rsidR="00220303" w:rsidRDefault="00220303" w:rsidP="00771227">
            <w:pPr>
              <w:rPr>
                <w:lang w:val="en-US"/>
              </w:rPr>
            </w:pPr>
          </w:p>
          <w:p w14:paraId="16C340E1" w14:textId="77777777" w:rsidR="00220303" w:rsidRDefault="00220303" w:rsidP="00771227">
            <w:pPr>
              <w:rPr>
                <w:lang w:val="en-US"/>
              </w:rPr>
            </w:pPr>
          </w:p>
          <w:p w14:paraId="51F535F9" w14:textId="77777777" w:rsidR="00220303" w:rsidRDefault="00220303" w:rsidP="00771227">
            <w:pPr>
              <w:rPr>
                <w:lang w:val="en-US"/>
              </w:rPr>
            </w:pPr>
          </w:p>
          <w:p w14:paraId="5E42F11A" w14:textId="77777777" w:rsidR="005D6D45" w:rsidRDefault="005D6D45" w:rsidP="00771227">
            <w:pPr>
              <w:rPr>
                <w:lang w:val="en-US"/>
              </w:rPr>
            </w:pPr>
          </w:p>
          <w:p w14:paraId="5B9CA8AA" w14:textId="77777777" w:rsidR="005D6D45" w:rsidRDefault="005D6D45" w:rsidP="00771227">
            <w:pPr>
              <w:rPr>
                <w:lang w:val="en-US"/>
              </w:rPr>
            </w:pPr>
          </w:p>
        </w:tc>
        <w:tc>
          <w:tcPr>
            <w:tcW w:w="4814" w:type="dxa"/>
          </w:tcPr>
          <w:p w14:paraId="23FF730D" w14:textId="77777777" w:rsidR="00220303" w:rsidRDefault="00220303" w:rsidP="00771227">
            <w:pPr>
              <w:rPr>
                <w:lang w:val="en-US"/>
              </w:rPr>
            </w:pPr>
          </w:p>
        </w:tc>
      </w:tr>
    </w:tbl>
    <w:p w14:paraId="371A033D" w14:textId="77777777" w:rsidR="00220303" w:rsidRDefault="00220303">
      <w:pPr>
        <w:rPr>
          <w:lang w:val="en-US"/>
        </w:rPr>
      </w:pPr>
    </w:p>
    <w:p w14:paraId="095EAFD3" w14:textId="77777777" w:rsidR="00537A5A" w:rsidRPr="00537A5A" w:rsidRDefault="004122D6" w:rsidP="004122D6">
      <w:pPr>
        <w:pStyle w:val="Listeafsnit"/>
        <w:numPr>
          <w:ilvl w:val="0"/>
          <w:numId w:val="1"/>
        </w:numPr>
        <w:rPr>
          <w:b/>
          <w:bCs/>
          <w:lang w:val="en-US"/>
        </w:rPr>
      </w:pPr>
      <w:r w:rsidRPr="004122D6">
        <w:rPr>
          <w:b/>
          <w:bCs/>
          <w:sz w:val="28"/>
          <w:szCs w:val="28"/>
          <w:lang w:val="en-US"/>
        </w:rPr>
        <w:t xml:space="preserve">Text-piece analysis. </w:t>
      </w:r>
    </w:p>
    <w:p w14:paraId="25D30AA2" w14:textId="07C6A3C3" w:rsidR="00537A5A" w:rsidRPr="00537A5A" w:rsidRDefault="00537A5A" w:rsidP="00537A5A">
      <w:pPr>
        <w:pStyle w:val="Listeafsnit"/>
        <w:numPr>
          <w:ilvl w:val="0"/>
          <w:numId w:val="2"/>
        </w:numPr>
        <w:rPr>
          <w:b/>
          <w:bCs/>
          <w:sz w:val="28"/>
          <w:szCs w:val="28"/>
          <w:lang w:val="en-US"/>
        </w:rPr>
      </w:pPr>
      <w:r>
        <w:rPr>
          <w:b/>
          <w:bCs/>
          <w:sz w:val="28"/>
          <w:szCs w:val="28"/>
          <w:lang w:val="en-US"/>
        </w:rPr>
        <w:t>Obama, 2017. Nodal point: Democracy. What is the chain of equivalence in this piece:</w:t>
      </w:r>
    </w:p>
    <w:p w14:paraId="56C608DC" w14:textId="6856FA94" w:rsidR="00537A5A" w:rsidRPr="00537A5A" w:rsidRDefault="00537A5A" w:rsidP="00537A5A">
      <w:pPr>
        <w:rPr>
          <w:sz w:val="28"/>
          <w:szCs w:val="28"/>
          <w:lang w:val="en-US"/>
        </w:rPr>
      </w:pPr>
      <w:r w:rsidRPr="00537A5A">
        <w:rPr>
          <w:sz w:val="28"/>
          <w:szCs w:val="28"/>
          <w:lang w:val="en-US"/>
        </w:rPr>
        <w:t>“Our Constitution is a remarkable, beautiful gift. But it's really just a piece of parchment. It has no power on its own. We, the people, give it power – with our participation, and the choices we make. Whether or not we stand up for our freedoms. Whether or not we respect and enforce the rule of law. America is no fragile thing. But the gains of our long journey to freedom are not assured.”</w:t>
      </w:r>
    </w:p>
    <w:p w14:paraId="064EC887" w14:textId="77777777" w:rsidR="00537A5A" w:rsidRDefault="00537A5A" w:rsidP="00537A5A">
      <w:pPr>
        <w:rPr>
          <w:b/>
          <w:bCs/>
          <w:sz w:val="28"/>
          <w:szCs w:val="28"/>
          <w:lang w:val="en-US"/>
        </w:rPr>
      </w:pPr>
      <w:hyperlink r:id="rId5" w:tgtFrame="_blank" w:history="1">
        <w:r w:rsidRPr="005D6D45">
          <w:rPr>
            <w:rStyle w:val="Hyperlink"/>
            <w:b/>
            <w:bCs/>
            <w:sz w:val="28"/>
            <w:szCs w:val="28"/>
            <w:lang w:val="en-US"/>
          </w:rPr>
          <w:t>LA Times</w:t>
        </w:r>
      </w:hyperlink>
    </w:p>
    <w:p w14:paraId="2EE1A8EE" w14:textId="6446797B" w:rsidR="005D6D45" w:rsidRPr="005D6D45" w:rsidRDefault="005D6D45" w:rsidP="005D6D45">
      <w:pPr>
        <w:pStyle w:val="Listeafsnit"/>
        <w:numPr>
          <w:ilvl w:val="0"/>
          <w:numId w:val="1"/>
        </w:numPr>
        <w:rPr>
          <w:b/>
          <w:bCs/>
          <w:lang w:val="en-US"/>
        </w:rPr>
      </w:pPr>
      <w:r>
        <w:rPr>
          <w:b/>
          <w:bCs/>
          <w:lang w:val="en-US"/>
        </w:rPr>
        <w:lastRenderedPageBreak/>
        <w:t>Textpiece analysis.</w:t>
      </w:r>
    </w:p>
    <w:p w14:paraId="4AF27970" w14:textId="0D73CF3A" w:rsidR="004122D6" w:rsidRPr="005D6D45" w:rsidRDefault="005D6D45" w:rsidP="005D6D45">
      <w:pPr>
        <w:pStyle w:val="Listeafsnit"/>
        <w:rPr>
          <w:b/>
          <w:bCs/>
          <w:lang w:val="en-US"/>
        </w:rPr>
      </w:pPr>
      <w:r w:rsidRPr="005D6D45">
        <w:rPr>
          <w:b/>
          <w:bCs/>
          <w:sz w:val="28"/>
          <w:szCs w:val="28"/>
          <w:lang w:val="en-US"/>
        </w:rPr>
        <w:t>E</w:t>
      </w:r>
      <w:r w:rsidR="004122D6" w:rsidRPr="005D6D45">
        <w:rPr>
          <w:b/>
          <w:bCs/>
          <w:sz w:val="28"/>
          <w:szCs w:val="28"/>
          <w:lang w:val="en-US"/>
        </w:rPr>
        <w:t xml:space="preserve">xcerpt from Nigel Farage, Reform UK party, comments in the British Parliament on the European Convention of rights. </w:t>
      </w:r>
    </w:p>
    <w:p w14:paraId="5329AB88" w14:textId="77777777" w:rsidR="004122D6" w:rsidRDefault="004122D6" w:rsidP="004122D6">
      <w:pPr>
        <w:rPr>
          <w:lang w:val="en-US"/>
        </w:rPr>
      </w:pPr>
      <w:r>
        <w:rPr>
          <w:lang w:val="en-US"/>
        </w:rPr>
        <w:t xml:space="preserve">Source: </w:t>
      </w:r>
      <w:hyperlink r:id="rId6" w:anchor="contribution-00598AF6-581D-4137-ACDF-DBB6323985BC" w:history="1">
        <w:r w:rsidRPr="004B3C8E">
          <w:rPr>
            <w:rStyle w:val="Hyperlink"/>
            <w:lang w:val="en-US"/>
          </w:rPr>
          <w:t>https://hansard.parliament.uk/Commons/2025-10-29/debates/6960AC63-ADF5-4918-AC74-9D37DF5F6D16/details#contribution-00598AF6-581D-4137-ACDF-DBB6323985BC</w:t>
        </w:r>
      </w:hyperlink>
    </w:p>
    <w:p w14:paraId="3783B062" w14:textId="5C4981C6" w:rsidR="004122D6" w:rsidRDefault="004122D6">
      <w:pPr>
        <w:rPr>
          <w:b/>
          <w:bCs/>
          <w:lang w:val="en-US"/>
        </w:rPr>
      </w:pPr>
      <w:r>
        <w:rPr>
          <w:b/>
          <w:bCs/>
          <w:lang w:val="en-US"/>
        </w:rPr>
        <w:t xml:space="preserve">What is the </w:t>
      </w:r>
      <w:r w:rsidRPr="004122D6">
        <w:rPr>
          <w:b/>
          <w:bCs/>
          <w:i/>
          <w:iCs/>
          <w:lang w:val="en-US"/>
        </w:rPr>
        <w:t>nodalpoint</w:t>
      </w:r>
      <w:r>
        <w:rPr>
          <w:b/>
          <w:bCs/>
          <w:lang w:val="en-US"/>
        </w:rPr>
        <w:t>? (not necessarily directly mentioned)</w:t>
      </w:r>
    </w:p>
    <w:p w14:paraId="78AE7441" w14:textId="5A1DF989" w:rsidR="004122D6" w:rsidRDefault="004122D6">
      <w:pPr>
        <w:rPr>
          <w:b/>
          <w:bCs/>
          <w:lang w:val="en-US"/>
        </w:rPr>
      </w:pPr>
      <w:r>
        <w:rPr>
          <w:b/>
          <w:bCs/>
          <w:lang w:val="en-US"/>
        </w:rPr>
        <w:t xml:space="preserve">Find examples of chains of </w:t>
      </w:r>
      <w:r w:rsidRPr="004122D6">
        <w:rPr>
          <w:b/>
          <w:bCs/>
          <w:i/>
          <w:iCs/>
          <w:lang w:val="en-US"/>
        </w:rPr>
        <w:t>equivalence</w:t>
      </w:r>
      <w:r>
        <w:rPr>
          <w:b/>
          <w:bCs/>
          <w:lang w:val="en-US"/>
        </w:rPr>
        <w:t xml:space="preserve"> and </w:t>
      </w:r>
      <w:r w:rsidRPr="004122D6">
        <w:rPr>
          <w:b/>
          <w:bCs/>
          <w:i/>
          <w:iCs/>
          <w:lang w:val="en-US"/>
        </w:rPr>
        <w:t>difference</w:t>
      </w:r>
    </w:p>
    <w:p w14:paraId="156C604F" w14:textId="00C20FEE" w:rsidR="004122D6" w:rsidRDefault="004122D6">
      <w:pPr>
        <w:rPr>
          <w:b/>
          <w:bCs/>
          <w:i/>
          <w:iCs/>
          <w:lang w:val="en-US"/>
        </w:rPr>
      </w:pPr>
      <w:r>
        <w:rPr>
          <w:b/>
          <w:bCs/>
          <w:lang w:val="en-US"/>
        </w:rPr>
        <w:t xml:space="preserve">Any </w:t>
      </w:r>
      <w:r>
        <w:rPr>
          <w:b/>
          <w:bCs/>
          <w:i/>
          <w:iCs/>
          <w:lang w:val="en-US"/>
        </w:rPr>
        <w:t xml:space="preserve">floating signifiers </w:t>
      </w:r>
      <w:r>
        <w:rPr>
          <w:b/>
          <w:bCs/>
          <w:lang w:val="en-US"/>
        </w:rPr>
        <w:t xml:space="preserve">or </w:t>
      </w:r>
      <w:r>
        <w:rPr>
          <w:b/>
          <w:bCs/>
          <w:i/>
          <w:iCs/>
          <w:lang w:val="en-US"/>
        </w:rPr>
        <w:t>antagonisms?</w:t>
      </w:r>
    </w:p>
    <w:p w14:paraId="3543DD42" w14:textId="23257C17" w:rsidR="004122D6" w:rsidRPr="004122D6" w:rsidRDefault="00EB5731" w:rsidP="00EB5731">
      <w:pPr>
        <w:rPr>
          <w:lang w:val="en-US"/>
        </w:rPr>
      </w:pPr>
      <w:r>
        <w:rPr>
          <w:b/>
          <w:bCs/>
          <w:lang w:val="en-US"/>
        </w:rPr>
        <w:t xml:space="preserve">Which discourse and understanding is Farage </w:t>
      </w:r>
    </w:p>
    <w:p w14:paraId="078C1009" w14:textId="68DD5862" w:rsidR="004122D6" w:rsidRPr="004122D6" w:rsidRDefault="004122D6" w:rsidP="004122D6">
      <w:pPr>
        <w:rPr>
          <w:lang w:val="en-US"/>
        </w:rPr>
      </w:pPr>
      <w:r w:rsidRPr="004122D6">
        <w:rPr>
          <w:lang w:val="en-US"/>
        </w:rPr>
        <w:t xml:space="preserve">This Bill intends to restore the power of this Parliament—the power of all of you as MPs to actually be in control of the things that matter most to all voters, whether they supported you or not. </w:t>
      </w:r>
      <w:r w:rsidR="00EB5731">
        <w:rPr>
          <w:lang w:val="en-US"/>
        </w:rPr>
        <w:t xml:space="preserve">[…] </w:t>
      </w:r>
      <w:r w:rsidRPr="004122D6">
        <w:rPr>
          <w:lang w:val="en-US"/>
        </w:rPr>
        <w:t>This Bill intends to bring back British common law and some ideas—rather than state-given rights, those of birthrights of liberty and freedom. These are things that over centuries served our country far better than any other nation in the European continent.</w:t>
      </w:r>
    </w:p>
    <w:p w14:paraId="234FE1B1" w14:textId="49911C29" w:rsidR="004122D6" w:rsidRPr="004122D6" w:rsidRDefault="004122D6" w:rsidP="004122D6">
      <w:pPr>
        <w:rPr>
          <w:lang w:val="en-US"/>
        </w:rPr>
      </w:pPr>
      <w:r w:rsidRPr="004122D6">
        <w:rPr>
          <w:lang w:val="en-US"/>
        </w:rPr>
        <w:t>This is about liberty, it is about freedom, it is about democratic control.</w:t>
      </w:r>
      <w:r>
        <w:rPr>
          <w:lang w:val="en-US"/>
        </w:rPr>
        <w:t>[…]</w:t>
      </w:r>
      <w:r w:rsidRPr="004122D6">
        <w:rPr>
          <w:lang w:val="en-US"/>
        </w:rPr>
        <w:t xml:space="preserve"> This is about sovereignty—sovereignty of the country, sovereignty of our Parliament. It is about our voters being able to choose the future course and direction of our own country. That is why this matters.</w:t>
      </w:r>
    </w:p>
    <w:p w14:paraId="4A921486" w14:textId="1325C3A8" w:rsidR="004122D6" w:rsidRPr="004122D6" w:rsidRDefault="004122D6" w:rsidP="004122D6">
      <w:pPr>
        <w:rPr>
          <w:lang w:val="en-US"/>
        </w:rPr>
      </w:pPr>
      <w:r w:rsidRPr="004122D6">
        <w:rPr>
          <w:lang w:val="en-US"/>
        </w:rPr>
        <w:t xml:space="preserve">Let us remind ourselves briefly of some of the worst examples of the ECHR taking away our democratic rights. </w:t>
      </w:r>
      <w:r>
        <w:rPr>
          <w:lang w:val="en-US"/>
        </w:rPr>
        <w:t>[…]</w:t>
      </w:r>
    </w:p>
    <w:p w14:paraId="612A2E9F" w14:textId="2ACFC119" w:rsidR="004122D6" w:rsidRPr="004122D6" w:rsidRDefault="004122D6" w:rsidP="004122D6">
      <w:pPr>
        <w:rPr>
          <w:lang w:val="en-US"/>
        </w:rPr>
      </w:pPr>
      <w:r>
        <w:rPr>
          <w:lang w:val="en-US"/>
        </w:rPr>
        <w:t>W</w:t>
      </w:r>
      <w:r w:rsidRPr="004122D6">
        <w:rPr>
          <w:lang w:val="en-US"/>
        </w:rPr>
        <w:t>e have since seen horrendous stories, particularly under article 8 on the right to family life. Well, whose family? The families of British people, or the families of those who have come into Britain, in some cases illegally, and been waved through? Some of it is disgusting beyond belief. A Pakistani child sex offender dodged deportation on the basis that his removal would harm the children he had had in this country. The list goes on and on—Brazilian murderers, rapists and many others who claim the right to a family life under article 8. Well, what about British families? What about their rights and their freedoms? What are the priorities of Members of this place?</w:t>
      </w:r>
    </w:p>
    <w:p w14:paraId="6796D5A7" w14:textId="60C75439" w:rsidR="004122D6" w:rsidRPr="004122D6" w:rsidRDefault="004122D6" w:rsidP="004122D6">
      <w:pPr>
        <w:rPr>
          <w:lang w:val="en-US"/>
        </w:rPr>
      </w:pPr>
      <w:r w:rsidRPr="004122D6">
        <w:rPr>
          <w:lang w:val="en-US"/>
        </w:rPr>
        <w:t>Of course, we will be told that by leaving this completely outdated, 75-year-old convention—</w:t>
      </w:r>
      <w:r w:rsidRPr="004122D6">
        <w:rPr>
          <w:i/>
          <w:iCs/>
          <w:lang w:val="en-US"/>
        </w:rPr>
        <w:t>[Interruption.]</w:t>
      </w:r>
      <w:r w:rsidRPr="004122D6">
        <w:rPr>
          <w:lang w:val="en-US"/>
        </w:rPr>
        <w:t> By the way, I fully understand why it was signed up to in the 1940s—the other European countries did not have constitutions or democracies that could prevent them from going into extremism—but we are not Russia and we are not Belarus</w:t>
      </w:r>
    </w:p>
    <w:p w14:paraId="6BB778BF" w14:textId="77777777" w:rsidR="004122D6" w:rsidRPr="00220303" w:rsidRDefault="004122D6">
      <w:pPr>
        <w:rPr>
          <w:lang w:val="en-US"/>
        </w:rPr>
      </w:pPr>
    </w:p>
    <w:sectPr w:rsidR="004122D6" w:rsidRPr="0022030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40C"/>
    <w:multiLevelType w:val="hybridMultilevel"/>
    <w:tmpl w:val="3006B7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66D7942"/>
    <w:multiLevelType w:val="hybridMultilevel"/>
    <w:tmpl w:val="40243928"/>
    <w:lvl w:ilvl="0" w:tplc="A3E637E8">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19299315">
    <w:abstractNumId w:val="0"/>
  </w:num>
  <w:num w:numId="2" w16cid:durableId="407113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03"/>
    <w:rsid w:val="00080165"/>
    <w:rsid w:val="000874A4"/>
    <w:rsid w:val="00220303"/>
    <w:rsid w:val="002B152B"/>
    <w:rsid w:val="004122D6"/>
    <w:rsid w:val="004276DC"/>
    <w:rsid w:val="004B51BD"/>
    <w:rsid w:val="00537A5A"/>
    <w:rsid w:val="005C3D00"/>
    <w:rsid w:val="005D6D45"/>
    <w:rsid w:val="00771227"/>
    <w:rsid w:val="00CD05D3"/>
    <w:rsid w:val="00EB57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873E"/>
  <w15:chartTrackingRefBased/>
  <w15:docId w15:val="{6ADE1953-7874-4F00-9E97-D00614E3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03"/>
  </w:style>
  <w:style w:type="paragraph" w:styleId="Overskrift1">
    <w:name w:val="heading 1"/>
    <w:basedOn w:val="Normal"/>
    <w:next w:val="Normal"/>
    <w:link w:val="Overskrift1Tegn"/>
    <w:uiPriority w:val="9"/>
    <w:qFormat/>
    <w:rsid w:val="00220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20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203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203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203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203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203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203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2030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03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203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2030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030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030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030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030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030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0303"/>
    <w:rPr>
      <w:rFonts w:eastAsiaTheme="majorEastAsia" w:cstheme="majorBidi"/>
      <w:color w:val="272727" w:themeColor="text1" w:themeTint="D8"/>
    </w:rPr>
  </w:style>
  <w:style w:type="paragraph" w:styleId="Titel">
    <w:name w:val="Title"/>
    <w:basedOn w:val="Normal"/>
    <w:next w:val="Normal"/>
    <w:link w:val="TitelTegn"/>
    <w:uiPriority w:val="10"/>
    <w:qFormat/>
    <w:rsid w:val="00220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2030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030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2030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030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20303"/>
    <w:rPr>
      <w:i/>
      <w:iCs/>
      <w:color w:val="404040" w:themeColor="text1" w:themeTint="BF"/>
    </w:rPr>
  </w:style>
  <w:style w:type="paragraph" w:styleId="Listeafsnit">
    <w:name w:val="List Paragraph"/>
    <w:basedOn w:val="Normal"/>
    <w:uiPriority w:val="34"/>
    <w:qFormat/>
    <w:rsid w:val="00220303"/>
    <w:pPr>
      <w:ind w:left="720"/>
      <w:contextualSpacing/>
    </w:pPr>
  </w:style>
  <w:style w:type="character" w:styleId="Kraftigfremhvning">
    <w:name w:val="Intense Emphasis"/>
    <w:basedOn w:val="Standardskrifttypeiafsnit"/>
    <w:uiPriority w:val="21"/>
    <w:qFormat/>
    <w:rsid w:val="00220303"/>
    <w:rPr>
      <w:i/>
      <w:iCs/>
      <w:color w:val="0F4761" w:themeColor="accent1" w:themeShade="BF"/>
    </w:rPr>
  </w:style>
  <w:style w:type="paragraph" w:styleId="Strktcitat">
    <w:name w:val="Intense Quote"/>
    <w:basedOn w:val="Normal"/>
    <w:next w:val="Normal"/>
    <w:link w:val="StrktcitatTegn"/>
    <w:uiPriority w:val="30"/>
    <w:qFormat/>
    <w:rsid w:val="00220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20303"/>
    <w:rPr>
      <w:i/>
      <w:iCs/>
      <w:color w:val="0F4761" w:themeColor="accent1" w:themeShade="BF"/>
    </w:rPr>
  </w:style>
  <w:style w:type="character" w:styleId="Kraftighenvisning">
    <w:name w:val="Intense Reference"/>
    <w:basedOn w:val="Standardskrifttypeiafsnit"/>
    <w:uiPriority w:val="32"/>
    <w:qFormat/>
    <w:rsid w:val="00220303"/>
    <w:rPr>
      <w:b/>
      <w:bCs/>
      <w:smallCaps/>
      <w:color w:val="0F4761" w:themeColor="accent1" w:themeShade="BF"/>
      <w:spacing w:val="5"/>
    </w:rPr>
  </w:style>
  <w:style w:type="table" w:styleId="Tabel-Gitter">
    <w:name w:val="Table Grid"/>
    <w:basedOn w:val="Tabel-Normal"/>
    <w:uiPriority w:val="39"/>
    <w:rsid w:val="00220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122D6"/>
    <w:rPr>
      <w:color w:val="467886" w:themeColor="hyperlink"/>
      <w:u w:val="single"/>
    </w:rPr>
  </w:style>
  <w:style w:type="character" w:styleId="Ulstomtale">
    <w:name w:val="Unresolved Mention"/>
    <w:basedOn w:val="Standardskrifttypeiafsnit"/>
    <w:uiPriority w:val="99"/>
    <w:semiHidden/>
    <w:unhideWhenUsed/>
    <w:rsid w:val="0041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nsard.parliament.uk/Commons/2025-10-29/debates/6960AC63-ADF5-4918-AC74-9D37DF5F6D16/details" TargetMode="External"/><Relationship Id="rId5" Type="http://schemas.openxmlformats.org/officeDocument/2006/relationships/hyperlink" Target="http://www.latimes.com/politics/la-pol-obama-farewell-speech-transcript-20170110-stor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2168</TotalTime>
  <Pages>2</Pages>
  <Words>517</Words>
  <Characters>3158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Brønd (NGHMBR - Underviser - NGH)</dc:creator>
  <cp:keywords/>
  <dc:description/>
  <cp:lastModifiedBy>Malene Brønd (NGHMBR - Underviser - NGH)</cp:lastModifiedBy>
  <cp:revision>3</cp:revision>
  <dcterms:created xsi:type="dcterms:W3CDTF">2025-12-09T14:06:00Z</dcterms:created>
  <dcterms:modified xsi:type="dcterms:W3CDTF">2025-12-17T13:21:00Z</dcterms:modified>
</cp:coreProperties>
</file>