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2521" w14:textId="77777777" w:rsidR="00B23B50" w:rsidRPr="00496240" w:rsidRDefault="00B23B50" w:rsidP="00B23B50">
      <w:pPr>
        <w:pStyle w:val="Overskrift1"/>
      </w:pPr>
      <w:r w:rsidRPr="00496240">
        <w:t xml:space="preserve">Opgave 2. </w:t>
      </w:r>
      <w:r w:rsidRPr="00496240">
        <w:rPr>
          <w:i/>
          <w:iCs/>
        </w:rPr>
        <w:t xml:space="preserve">Giraffer </w:t>
      </w:r>
    </w:p>
    <w:p w14:paraId="0EEA1DF6" w14:textId="2C2C4324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</w:rPr>
        <w:t xml:space="preserve">Girafslægten, </w:t>
      </w:r>
      <w:proofErr w:type="spellStart"/>
      <w:r w:rsidRPr="00496240">
        <w:rPr>
          <w:rFonts w:ascii="Times" w:hAnsi="Times" w:cs="Times"/>
          <w:i/>
          <w:iCs/>
        </w:rPr>
        <w:t>Giraffa</w:t>
      </w:r>
      <w:proofErr w:type="spellEnd"/>
      <w:r w:rsidRPr="00496240">
        <w:rPr>
          <w:rFonts w:ascii="Times" w:hAnsi="Times" w:cs="Times"/>
          <w:i/>
          <w:iCs/>
        </w:rPr>
        <w:t xml:space="preserve"> </w:t>
      </w:r>
      <w:proofErr w:type="spellStart"/>
      <w:r w:rsidRPr="00496240">
        <w:rPr>
          <w:rFonts w:ascii="Times" w:hAnsi="Times" w:cs="Times"/>
        </w:rPr>
        <w:t>spp</w:t>
      </w:r>
      <w:proofErr w:type="spellEnd"/>
      <w:r w:rsidRPr="00496240">
        <w:rPr>
          <w:rFonts w:ascii="Times" w:hAnsi="Times" w:cs="Times"/>
        </w:rPr>
        <w:t xml:space="preserve">., se </w:t>
      </w:r>
      <w:r w:rsidRPr="00496240">
        <w:rPr>
          <w:rFonts w:ascii="Times" w:hAnsi="Times" w:cs="Times"/>
          <w:i/>
          <w:iCs/>
        </w:rPr>
        <w:t>figur 1</w:t>
      </w:r>
      <w:r w:rsidRPr="00496240">
        <w:rPr>
          <w:rFonts w:ascii="Times" w:hAnsi="Times" w:cs="Times"/>
        </w:rPr>
        <w:t>, har tidligere bestået af 1 art og 9 underarter.</w:t>
      </w:r>
      <w:r w:rsidRPr="00496240">
        <w:rPr>
          <w:rFonts w:ascii="Times" w:hAnsi="Times" w:cs="Times"/>
          <w:position w:val="10"/>
        </w:rPr>
        <w:t xml:space="preserve">1 </w:t>
      </w:r>
      <w:r w:rsidR="002B0918" w:rsidRPr="00496240">
        <w:rPr>
          <w:rFonts w:ascii="Times" w:hAnsi="Times" w:cs="Times"/>
        </w:rPr>
        <w:t xml:space="preserve">Inddeling af arter </w:t>
      </w:r>
      <w:r w:rsidRPr="00496240">
        <w:rPr>
          <w:rFonts w:ascii="Times" w:hAnsi="Times" w:cs="Times"/>
        </w:rPr>
        <w:t>og underarter har tidligere udelukkende været baseret på individers karakteristiske morfologi</w:t>
      </w:r>
      <w:r w:rsidRPr="00496240">
        <w:rPr>
          <w:rFonts w:ascii="Times" w:hAnsi="Times" w:cs="Times"/>
          <w:position w:val="10"/>
        </w:rPr>
        <w:t>2</w:t>
      </w:r>
      <w:r w:rsidRPr="00496240">
        <w:rPr>
          <w:rFonts w:ascii="Times" w:hAnsi="Times" w:cs="Times"/>
        </w:rPr>
        <w:t xml:space="preserve">. I dag indgår DNA-analyser også i en vurdering af, hvorvidt forskellige individer tilhører samme art eller forskellige arter. Sådanne DNA-analyser har vist, at giraffen kan inddeles i 4 arter og ingen underarter. </w:t>
      </w:r>
      <w:r w:rsidRPr="00496240">
        <w:rPr>
          <w:rFonts w:ascii="Times" w:hAnsi="Times" w:cs="Times"/>
          <w:i/>
          <w:iCs/>
        </w:rPr>
        <w:t xml:space="preserve">Figur 2 </w:t>
      </w:r>
      <w:r w:rsidRPr="00496240">
        <w:rPr>
          <w:rFonts w:ascii="Times" w:hAnsi="Times" w:cs="Times"/>
        </w:rPr>
        <w:t xml:space="preserve">viser de tidligere 9 underarter, som nu placeres i 4 nye arter. </w:t>
      </w:r>
    </w:p>
    <w:p w14:paraId="468C17F8" w14:textId="77777777" w:rsidR="00B23B50" w:rsidRPr="00496240" w:rsidRDefault="00B23B50" w:rsidP="00B23B5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96240">
        <w:rPr>
          <w:rFonts w:ascii="Times" w:hAnsi="Times" w:cs="Times"/>
        </w:rPr>
        <w:t xml:space="preserve"> </w:t>
      </w:r>
    </w:p>
    <w:p w14:paraId="07806861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</w:rPr>
      </w:pPr>
      <w:r w:rsidRPr="00496240">
        <w:rPr>
          <w:rFonts w:ascii="Times" w:hAnsi="Times" w:cs="Times"/>
          <w:noProof/>
          <w:sz w:val="20"/>
        </w:rPr>
        <w:drawing>
          <wp:inline distT="0" distB="0" distL="0" distR="0" wp14:anchorId="684C01B3" wp14:editId="46EA2CC8">
            <wp:extent cx="6324600" cy="3314700"/>
            <wp:effectExtent l="0" t="0" r="0" b="12700"/>
            <wp:docPr id="60" name="Billede 60" descr="Macintosh HD:Users:Henrik:Desktop:Skærmbillede 2020-05-25 kl. 08.35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Macintosh HD:Users:Henrik:Desktop:Skærmbillede 2020-05-25 kl. 08.35.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80"/>
        <w:gridCol w:w="3540"/>
      </w:tblGrid>
      <w:tr w:rsidR="00B23B50" w:rsidRPr="00496240" w14:paraId="586647D1" w14:textId="77777777">
        <w:tc>
          <w:tcPr>
            <w:tcW w:w="5080" w:type="dxa"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30F833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r w:rsidRPr="00496240">
              <w:rPr>
                <w:rFonts w:ascii="Times" w:hAnsi="Times" w:cs="Times"/>
                <w:b/>
                <w:bCs/>
              </w:rPr>
              <w:t xml:space="preserve">Tidligere underarter </w:t>
            </w:r>
          </w:p>
        </w:tc>
        <w:tc>
          <w:tcPr>
            <w:tcW w:w="3540" w:type="dxa"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AEA7C0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r w:rsidRPr="00496240">
              <w:rPr>
                <w:rFonts w:ascii="Times" w:hAnsi="Times" w:cs="Times"/>
                <w:b/>
                <w:bCs/>
              </w:rPr>
              <w:t xml:space="preserve">Nye arter </w:t>
            </w:r>
          </w:p>
        </w:tc>
      </w:tr>
      <w:tr w:rsidR="00B23B50" w:rsidRPr="00496240" w14:paraId="0EE0110D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141313"/>
              <w:left w:val="single" w:sz="2" w:space="0" w:color="131313"/>
              <w:bottom w:val="single" w:sz="2" w:space="0" w:color="auto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DDF94F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angolensis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B24A7A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r w:rsidRPr="00496240">
              <w:rPr>
                <w:rFonts w:ascii="Times" w:hAnsi="Times" w:cs="Times"/>
                <w:b/>
                <w:bCs/>
              </w:rPr>
              <w:t xml:space="preserve">Den sydlige giraf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</w:tr>
      <w:tr w:rsidR="00B23B50" w:rsidRPr="00496240" w14:paraId="2324A52B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auto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FAD466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B31B21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</w:p>
        </w:tc>
      </w:tr>
      <w:tr w:rsidR="00B23B50" w:rsidRPr="00496240" w14:paraId="72B91DB8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141313"/>
              <w:left w:val="single" w:sz="2" w:space="0" w:color="131313"/>
              <w:bottom w:val="single" w:sz="2" w:space="0" w:color="auto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E136D7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tippelskirchi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01B63E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r w:rsidRPr="00496240">
              <w:rPr>
                <w:rFonts w:ascii="Times" w:hAnsi="Times" w:cs="Times"/>
                <w:b/>
                <w:bCs/>
              </w:rPr>
              <w:t xml:space="preserve">Masai-giraf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tippelskirchi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</w:tr>
      <w:tr w:rsidR="00B23B50" w:rsidRPr="00496240" w14:paraId="1188DC23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auto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B61AB3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thornicrofti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2B0C6F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</w:p>
        </w:tc>
      </w:tr>
      <w:tr w:rsidR="00B23B50" w:rsidRPr="00496240" w14:paraId="6824DF2A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71EE13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reticulata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tcBorders>
              <w:top w:val="single" w:sz="2" w:space="0" w:color="141313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C7340F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b/>
                <w:bCs/>
              </w:rPr>
              <w:t>Netgiraf</w:t>
            </w:r>
            <w:proofErr w:type="spellEnd"/>
            <w:r w:rsidRPr="00496240"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reticulata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</w:tr>
      <w:tr w:rsidR="00B23B50" w:rsidRPr="00496240" w14:paraId="52F00C88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141313"/>
              <w:left w:val="single" w:sz="2" w:space="0" w:color="131313"/>
              <w:bottom w:val="single" w:sz="2" w:space="0" w:color="auto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92458B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camelopardalis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2" w:space="0" w:color="141313"/>
              <w:left w:val="single" w:sz="2" w:space="0" w:color="121111"/>
              <w:bottom w:val="single" w:sz="2" w:space="0" w:color="141313"/>
              <w:right w:val="single" w:sz="2" w:space="0" w:color="121212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82C5EE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r w:rsidRPr="00496240">
              <w:rPr>
                <w:rFonts w:ascii="Times" w:hAnsi="Times" w:cs="Times"/>
                <w:b/>
                <w:bCs/>
              </w:rPr>
              <w:t xml:space="preserve">Den nordlige giraf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</w:p>
        </w:tc>
      </w:tr>
      <w:tr w:rsidR="00B23B50" w:rsidRPr="00496240" w14:paraId="2E182662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auto"/>
              <w:left w:val="single" w:sz="2" w:space="0" w:color="131313"/>
              <w:bottom w:val="single" w:sz="2" w:space="0" w:color="auto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1DABC6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peralta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2" w:space="0" w:color="141313"/>
              <w:left w:val="single" w:sz="2" w:space="0" w:color="121111"/>
              <w:bottom w:val="single" w:sz="2" w:space="0" w:color="141313"/>
              <w:right w:val="single" w:sz="2" w:space="0" w:color="121212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53BA20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</w:p>
        </w:tc>
      </w:tr>
      <w:tr w:rsidR="00B23B50" w:rsidRPr="00496240" w14:paraId="0318DAC6" w14:textId="77777777">
        <w:tblPrEx>
          <w:tblBorders>
            <w:top w:val="none" w:sz="0" w:space="0" w:color="auto"/>
          </w:tblBorders>
        </w:tblPrEx>
        <w:tc>
          <w:tcPr>
            <w:tcW w:w="5080" w:type="dxa"/>
            <w:tcBorders>
              <w:top w:val="single" w:sz="2" w:space="0" w:color="auto"/>
              <w:left w:val="single" w:sz="2" w:space="0" w:color="131313"/>
              <w:bottom w:val="single" w:sz="2" w:space="0" w:color="auto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853F63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antiquorum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2" w:space="0" w:color="141313"/>
              <w:left w:val="single" w:sz="2" w:space="0" w:color="121111"/>
              <w:bottom w:val="single" w:sz="2" w:space="0" w:color="141313"/>
              <w:right w:val="single" w:sz="2" w:space="0" w:color="121212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DDA53C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</w:p>
        </w:tc>
      </w:tr>
      <w:tr w:rsidR="00B23B50" w:rsidRPr="00496240" w14:paraId="62E566DB" w14:textId="77777777">
        <w:tc>
          <w:tcPr>
            <w:tcW w:w="5080" w:type="dxa"/>
            <w:tcBorders>
              <w:top w:val="single" w:sz="2" w:space="0" w:color="auto"/>
              <w:left w:val="single" w:sz="2" w:space="0" w:color="131313"/>
              <w:bottom w:val="single" w:sz="2" w:space="0" w:color="141313"/>
              <w:right w:val="single" w:sz="2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8D8796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  <w:proofErr w:type="spellStart"/>
            <w:r w:rsidRPr="00496240">
              <w:rPr>
                <w:rFonts w:ascii="Times" w:hAnsi="Times" w:cs="Times"/>
                <w:i/>
                <w:iCs/>
              </w:rPr>
              <w:t>Giraffa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camelopardalis </w:t>
            </w:r>
            <w:proofErr w:type="spellStart"/>
            <w:r w:rsidRPr="00496240">
              <w:rPr>
                <w:rFonts w:ascii="Times" w:hAnsi="Times" w:cs="Times"/>
                <w:i/>
                <w:iCs/>
              </w:rPr>
              <w:t>rothschildi</w:t>
            </w:r>
            <w:proofErr w:type="spellEnd"/>
            <w:r w:rsidRPr="00496240">
              <w:rPr>
                <w:rFonts w:ascii="Times" w:hAnsi="Times" w:cs="Times"/>
                <w:i/>
                <w:iCs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2" w:space="0" w:color="141313"/>
              <w:left w:val="single" w:sz="2" w:space="0" w:color="121111"/>
              <w:bottom w:val="single" w:sz="2" w:space="0" w:color="141313"/>
              <w:right w:val="single" w:sz="2" w:space="0" w:color="121212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978566" w14:textId="77777777" w:rsidR="00B23B50" w:rsidRPr="00496240" w:rsidRDefault="00B23B50" w:rsidP="00B23B50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" w:hAnsi="Times" w:cs="Times"/>
              </w:rPr>
            </w:pPr>
          </w:p>
        </w:tc>
      </w:tr>
    </w:tbl>
    <w:p w14:paraId="15A7C05E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  <w:i/>
          <w:iCs/>
        </w:rPr>
        <w:t xml:space="preserve">Figur 2. </w:t>
      </w:r>
      <w:r w:rsidRPr="00496240">
        <w:rPr>
          <w:rFonts w:ascii="Times" w:hAnsi="Times" w:cs="Times"/>
        </w:rPr>
        <w:t xml:space="preserve">Tidligere 9 underarter, som nu placeres i 4 nye arter af giraf. </w:t>
      </w:r>
    </w:p>
    <w:p w14:paraId="5F8BA3B3" w14:textId="0EC083DC" w:rsidR="00B23B50" w:rsidRPr="00133C18" w:rsidRDefault="00B23B50" w:rsidP="00133C18">
      <w:pPr>
        <w:pStyle w:val="Listeafsnit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133C18">
        <w:rPr>
          <w:rFonts w:ascii="Times" w:hAnsi="Times" w:cs="Times"/>
        </w:rPr>
        <w:t xml:space="preserve">Forklar, hvordan resultater fra DNA-analyser kan danne grundlag for at samle de tidligere 9 underarter i 4 nye arter af giraf. </w:t>
      </w:r>
    </w:p>
    <w:p w14:paraId="5477B0A5" w14:textId="77777777" w:rsidR="00133C18" w:rsidRDefault="00133C18" w:rsidP="00133C1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4ECC39FE" w14:textId="77777777" w:rsidR="00133C18" w:rsidRPr="00133C18" w:rsidRDefault="00133C18" w:rsidP="00133C1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B13E3CC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</w:rPr>
        <w:lastRenderedPageBreak/>
        <w:t xml:space="preserve">En gruppe forskere har vist, at girafslægtens stamform opstod for mere end 2 millioner år siden. </w:t>
      </w:r>
      <w:r w:rsidRPr="00496240">
        <w:rPr>
          <w:rFonts w:ascii="Times" w:hAnsi="Times" w:cs="Times"/>
          <w:i/>
          <w:iCs/>
        </w:rPr>
        <w:t xml:space="preserve">Figur 3 </w:t>
      </w:r>
      <w:r w:rsidRPr="00496240">
        <w:rPr>
          <w:rFonts w:ascii="Times" w:hAnsi="Times" w:cs="Times"/>
        </w:rPr>
        <w:t xml:space="preserve">viser slægtskabet mellem de 4 nulevende girafarter. </w:t>
      </w:r>
    </w:p>
    <w:p w14:paraId="1516AD74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color w:val="535353"/>
          <w:sz w:val="18"/>
          <w:szCs w:val="18"/>
        </w:rPr>
      </w:pPr>
      <w:r w:rsidRPr="00496240">
        <w:rPr>
          <w:rFonts w:ascii="Times" w:hAnsi="Times" w:cs="Times"/>
          <w:i/>
          <w:iCs/>
          <w:noProof/>
          <w:color w:val="535353"/>
          <w:sz w:val="18"/>
          <w:szCs w:val="18"/>
        </w:rPr>
        <w:drawing>
          <wp:inline distT="0" distB="0" distL="0" distR="0" wp14:anchorId="20C4DF0F" wp14:editId="3BADF33A">
            <wp:extent cx="6324600" cy="1790700"/>
            <wp:effectExtent l="0" t="0" r="0" b="12700"/>
            <wp:docPr id="59" name="Billede 59" descr="Macintosh HD:Users:Henrik:Desktop:Skærmbillede 2020-05-25 kl. 08.25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Macintosh HD:Users:Henrik:Desktop:Skærmbillede 2020-05-25 kl. 08.25.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F24A" w14:textId="2CFBBA78" w:rsidR="00B23B50" w:rsidRPr="0019772B" w:rsidRDefault="00B23B50" w:rsidP="0019772B">
      <w:pPr>
        <w:pStyle w:val="Listeafsnit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hAnsi="Times" w:cs="Times"/>
          <w:i/>
          <w:iCs/>
        </w:rPr>
      </w:pPr>
      <w:r w:rsidRPr="0019772B">
        <w:rPr>
          <w:rFonts w:ascii="Times" w:hAnsi="Times" w:cs="Times"/>
        </w:rPr>
        <w:t xml:space="preserve">Beskriv slægtskabet mellem de 4 nulevende girafarter. Inddrag </w:t>
      </w:r>
      <w:r w:rsidRPr="0019772B">
        <w:rPr>
          <w:rFonts w:ascii="Times" w:hAnsi="Times" w:cs="Times"/>
          <w:i/>
          <w:iCs/>
        </w:rPr>
        <w:t xml:space="preserve">figur 3. </w:t>
      </w:r>
    </w:p>
    <w:p w14:paraId="4C43CEBC" w14:textId="77777777" w:rsidR="00496240" w:rsidRPr="00496240" w:rsidRDefault="0049624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05ED192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</w:rPr>
        <w:t xml:space="preserve">Forskerne har opstillet den hypotese, at de 4 girafarter er opstået på grund af geografisk adskillelse. </w:t>
      </w:r>
    </w:p>
    <w:p w14:paraId="309AAE9F" w14:textId="752DFA76" w:rsidR="00B23B50" w:rsidRPr="0019772B" w:rsidRDefault="00B23B50" w:rsidP="0019772B">
      <w:pPr>
        <w:pStyle w:val="Listeafsnit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19772B">
        <w:rPr>
          <w:rFonts w:ascii="Times" w:hAnsi="Times" w:cs="Times"/>
        </w:rPr>
        <w:t>Forklar, hvorfor geografisk adskillelse kan medføre udvikling af 4 girafarter.</w:t>
      </w:r>
    </w:p>
    <w:p w14:paraId="3929E8C6" w14:textId="77777777" w:rsidR="00496240" w:rsidRPr="00496240" w:rsidRDefault="0049624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7D3B3B2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</w:rPr>
        <w:t xml:space="preserve">Det samlede antal giraffer i Afrika er over de seneste årtier faldet fra ca. 150.000 individer til </w:t>
      </w:r>
    </w:p>
    <w:p w14:paraId="2FA17D3F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</w:rPr>
        <w:t xml:space="preserve">ca. 90.000 individer. </w:t>
      </w:r>
      <w:r w:rsidRPr="00496240">
        <w:rPr>
          <w:rFonts w:ascii="Times" w:hAnsi="Times" w:cs="Times"/>
          <w:i/>
          <w:iCs/>
        </w:rPr>
        <w:t xml:space="preserve">Figur 4 </w:t>
      </w:r>
      <w:r w:rsidRPr="00496240">
        <w:rPr>
          <w:rFonts w:ascii="Times" w:hAnsi="Times" w:cs="Times"/>
        </w:rPr>
        <w:t xml:space="preserve">viser udbredelse og populationsstørrelse for de enkelte arter. </w:t>
      </w:r>
    </w:p>
    <w:p w14:paraId="614E9B99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  <w:i/>
          <w:iCs/>
          <w:noProof/>
          <w:sz w:val="30"/>
          <w:szCs w:val="30"/>
        </w:rPr>
        <w:drawing>
          <wp:inline distT="0" distB="0" distL="0" distR="0" wp14:anchorId="1B58DB6E" wp14:editId="6C3B7808">
            <wp:extent cx="4178255" cy="3668233"/>
            <wp:effectExtent l="0" t="0" r="635" b="2540"/>
            <wp:docPr id="57" name="Billede 57" descr="Macintosh HD:Users:Henrik:Desktop:Skærmbillede 2020-05-25 kl. 08.25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acintosh HD:Users:Henrik:Desktop:Skærmbillede 2020-05-25 kl. 08.25.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44" cy="368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421E3" w14:textId="77777777" w:rsidR="002B0918" w:rsidRPr="00496240" w:rsidRDefault="002B0918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76CD94E1" w14:textId="77777777" w:rsidR="00133C18" w:rsidRDefault="00133C18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D712CF1" w14:textId="26ADDB94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96240">
        <w:rPr>
          <w:rFonts w:ascii="Times" w:hAnsi="Times" w:cs="Times"/>
        </w:rPr>
        <w:t xml:space="preserve">På Videnskab.dk kunne man i september 2016 læse: </w:t>
      </w:r>
      <w:r w:rsidR="002B0918" w:rsidRPr="00496240">
        <w:rPr>
          <w:rFonts w:ascii="Times" w:hAnsi="Times" w:cs="Times"/>
          <w:noProof/>
        </w:rPr>
        <w:drawing>
          <wp:inline distT="0" distB="0" distL="0" distR="0" wp14:anchorId="404FE9EE" wp14:editId="69ECD4CA">
            <wp:extent cx="5762846" cy="902614"/>
            <wp:effectExtent l="0" t="0" r="3175" b="0"/>
            <wp:docPr id="58" name="Billede 58" descr="Macintosh HD:Users:Henrik:Desktop:Skærmbillede 2020-05-25 kl. 08.25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Macintosh HD:Users:Henrik:Desktop:Skærmbillede 2020-05-25 kl. 08.25.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984" cy="91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5FABC" w14:textId="77777777" w:rsidR="00B23B50" w:rsidRPr="00496240" w:rsidRDefault="00B23B50" w:rsidP="00B23B5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5420B60A" w14:textId="77777777" w:rsidR="0019772B" w:rsidRDefault="00B23B50" w:rsidP="0019772B">
      <w:pPr>
        <w:pStyle w:val="Listeafsnit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46"/>
        <w:rPr>
          <w:rFonts w:ascii="Times" w:hAnsi="Times" w:cs="Times"/>
        </w:rPr>
      </w:pPr>
      <w:r w:rsidRPr="0019772B">
        <w:rPr>
          <w:rFonts w:ascii="Times" w:hAnsi="Times" w:cs="Times"/>
        </w:rPr>
        <w:t xml:space="preserve">Forklar, hvorfor det er tvivlsomt, om de mindste girafpopulationer overlever. </w:t>
      </w:r>
      <w:r w:rsidR="0019772B">
        <w:rPr>
          <w:rFonts w:ascii="Times" w:hAnsi="Times" w:cs="Times"/>
        </w:rPr>
        <w:br/>
      </w:r>
      <w:r w:rsidR="0019772B">
        <w:rPr>
          <w:rFonts w:ascii="Times" w:hAnsi="Times" w:cs="Times"/>
        </w:rPr>
        <w:br/>
      </w:r>
      <w:r w:rsidR="0019772B">
        <w:rPr>
          <w:rFonts w:ascii="Times" w:hAnsi="Times" w:cs="Times"/>
        </w:rPr>
        <w:br/>
      </w:r>
      <w:r w:rsidR="0019772B">
        <w:rPr>
          <w:rFonts w:ascii="Times" w:hAnsi="Times" w:cs="Times"/>
        </w:rPr>
        <w:br/>
      </w:r>
      <w:r w:rsidR="0019772B">
        <w:rPr>
          <w:rFonts w:ascii="Times" w:hAnsi="Times" w:cs="Times"/>
        </w:rPr>
        <w:br/>
      </w:r>
    </w:p>
    <w:p w14:paraId="6614E38B" w14:textId="0DCB87AD" w:rsidR="00B23B50" w:rsidRPr="0019772B" w:rsidRDefault="00B23B50" w:rsidP="0019772B">
      <w:pPr>
        <w:pStyle w:val="Listeafsnit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46"/>
        <w:rPr>
          <w:rFonts w:ascii="Times" w:hAnsi="Times" w:cs="Times"/>
        </w:rPr>
      </w:pPr>
      <w:r w:rsidRPr="0019772B">
        <w:rPr>
          <w:rFonts w:ascii="Times" w:hAnsi="Times" w:cs="Times"/>
        </w:rPr>
        <w:t xml:space="preserve">Diskuter hvilke handlinger, der kan bidrage til, at små girafpopulationer overlever. </w:t>
      </w:r>
    </w:p>
    <w:p w14:paraId="4A6A3A51" w14:textId="77777777" w:rsidR="00F71DDB" w:rsidRDefault="00F71DDB"/>
    <w:sectPr w:rsidR="00F71DDB" w:rsidSect="00B23B50">
      <w:footerReference w:type="default" r:id="rId11"/>
      <w:pgSz w:w="12240" w:h="15840"/>
      <w:pgMar w:top="567" w:right="1134" w:bottom="141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9BD3" w14:textId="77777777" w:rsidR="002B0918" w:rsidRDefault="002B0918" w:rsidP="00B23B50">
      <w:r>
        <w:separator/>
      </w:r>
    </w:p>
  </w:endnote>
  <w:endnote w:type="continuationSeparator" w:id="0">
    <w:p w14:paraId="5D26749D" w14:textId="77777777" w:rsidR="002B0918" w:rsidRDefault="002B0918" w:rsidP="00B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6078" w14:textId="77777777" w:rsidR="002B0918" w:rsidRDefault="002B0918" w:rsidP="00B23B50">
    <w:pPr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ind w:left="720"/>
      <w:rPr>
        <w:rFonts w:ascii="Times" w:hAnsi="Times" w:cs="Times"/>
        <w:lang w:val="en-US"/>
      </w:rPr>
    </w:pPr>
    <w:r>
      <w:rPr>
        <w:rFonts w:ascii="Times" w:hAnsi="Times" w:cs="Times"/>
        <w:lang w:val="en-US"/>
      </w:rPr>
      <w:t> </w:t>
    </w:r>
  </w:p>
  <w:p w14:paraId="687CCE9B" w14:textId="77777777" w:rsidR="002B0918" w:rsidRDefault="002B09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96D5" w14:textId="77777777" w:rsidR="002B0918" w:rsidRDefault="002B0918" w:rsidP="00B23B50">
      <w:r>
        <w:separator/>
      </w:r>
    </w:p>
  </w:footnote>
  <w:footnote w:type="continuationSeparator" w:id="0">
    <w:p w14:paraId="034715C2" w14:textId="77777777" w:rsidR="002B0918" w:rsidRDefault="002B0918" w:rsidP="00B23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B359AE"/>
    <w:multiLevelType w:val="hybridMultilevel"/>
    <w:tmpl w:val="EE74A242"/>
    <w:lvl w:ilvl="0" w:tplc="218C6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3762">
    <w:abstractNumId w:val="0"/>
  </w:num>
  <w:num w:numId="2" w16cid:durableId="1508667520">
    <w:abstractNumId w:val="1"/>
  </w:num>
  <w:num w:numId="3" w16cid:durableId="1540359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50"/>
    <w:rsid w:val="00133C18"/>
    <w:rsid w:val="0019772B"/>
    <w:rsid w:val="002B0918"/>
    <w:rsid w:val="00496240"/>
    <w:rsid w:val="004A685F"/>
    <w:rsid w:val="00B23B50"/>
    <w:rsid w:val="00F7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B1382"/>
  <w14:defaultImageDpi w14:val="300"/>
  <w15:docId w15:val="{02F94A3D-A2A3-F948-8F81-67A02CF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3B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B5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B50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23B5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B23B5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23B50"/>
  </w:style>
  <w:style w:type="paragraph" w:styleId="Sidefod">
    <w:name w:val="footer"/>
    <w:basedOn w:val="Normal"/>
    <w:link w:val="SidefodTegn"/>
    <w:uiPriority w:val="99"/>
    <w:unhideWhenUsed/>
    <w:rsid w:val="00B23B5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23B50"/>
  </w:style>
  <w:style w:type="paragraph" w:styleId="Listeafsnit">
    <w:name w:val="List Paragraph"/>
    <w:basedOn w:val="Normal"/>
    <w:uiPriority w:val="34"/>
    <w:qFormat/>
    <w:rsid w:val="0013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1764</Characters>
  <Application>Microsoft Office Word</Application>
  <DocSecurity>0</DocSecurity>
  <Lines>55</Lines>
  <Paragraphs>49</Paragraphs>
  <ScaleCrop>false</ScaleCrop>
  <Company>Herlev Gymnasium og HF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Lomstein</dc:creator>
  <cp:keywords/>
  <dc:description/>
  <cp:lastModifiedBy>Julie Sofie Kofod-Jensen</cp:lastModifiedBy>
  <cp:revision>2</cp:revision>
  <dcterms:created xsi:type="dcterms:W3CDTF">2026-02-18T10:16:00Z</dcterms:created>
  <dcterms:modified xsi:type="dcterms:W3CDTF">2026-02-18T10:16:00Z</dcterms:modified>
</cp:coreProperties>
</file>