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8"/>
        <w:gridCol w:w="3776"/>
        <w:gridCol w:w="3071"/>
        <w:gridCol w:w="3119"/>
      </w:tblGrid>
      <w:tr w:rsidR="00A1367C" w14:paraId="14ABC877" w14:textId="77777777" w:rsidTr="00A1367C">
        <w:trPr>
          <w:trHeight w:val="509"/>
        </w:trPr>
        <w:tc>
          <w:tcPr>
            <w:tcW w:w="3071" w:type="dxa"/>
          </w:tcPr>
          <w:p w14:paraId="57A53843" w14:textId="61315C9D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Jeg-identitet</w:t>
            </w:r>
          </w:p>
        </w:tc>
        <w:tc>
          <w:tcPr>
            <w:tcW w:w="3455" w:type="dxa"/>
          </w:tcPr>
          <w:p w14:paraId="786C59B3" w14:textId="317BA3C6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Personlig identitet</w:t>
            </w:r>
          </w:p>
        </w:tc>
        <w:tc>
          <w:tcPr>
            <w:tcW w:w="3071" w:type="dxa"/>
          </w:tcPr>
          <w:p w14:paraId="6FBA0F6D" w14:textId="04B2F688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Social identitet</w:t>
            </w:r>
          </w:p>
        </w:tc>
        <w:tc>
          <w:tcPr>
            <w:tcW w:w="3071" w:type="dxa"/>
          </w:tcPr>
          <w:p w14:paraId="4FEEBBE9" w14:textId="39F0B5B4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Kollektiv identitet</w:t>
            </w:r>
          </w:p>
        </w:tc>
      </w:tr>
      <w:tr w:rsidR="00A1367C" w14:paraId="42415C9B" w14:textId="77777777" w:rsidTr="00A1367C">
        <w:trPr>
          <w:trHeight w:val="1034"/>
        </w:trPr>
        <w:tc>
          <w:tcPr>
            <w:tcW w:w="3071" w:type="dxa"/>
          </w:tcPr>
          <w:p w14:paraId="1D364983" w14:textId="4863C261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Økonomisk kapital</w:t>
            </w:r>
          </w:p>
        </w:tc>
        <w:tc>
          <w:tcPr>
            <w:tcW w:w="3455" w:type="dxa"/>
          </w:tcPr>
          <w:p w14:paraId="46AED69E" w14:textId="47CC8B6D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Kulturel Kapital</w:t>
            </w:r>
          </w:p>
        </w:tc>
        <w:tc>
          <w:tcPr>
            <w:tcW w:w="3071" w:type="dxa"/>
          </w:tcPr>
          <w:p w14:paraId="3C6C55CC" w14:textId="58F88EBF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Social Kapital</w:t>
            </w:r>
          </w:p>
        </w:tc>
        <w:tc>
          <w:tcPr>
            <w:tcW w:w="3071" w:type="dxa"/>
          </w:tcPr>
          <w:p w14:paraId="23244A41" w14:textId="730657F3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Social arv</w:t>
            </w:r>
          </w:p>
        </w:tc>
      </w:tr>
      <w:tr w:rsidR="00A1367C" w14:paraId="6837F66A" w14:textId="77777777" w:rsidTr="00A1367C">
        <w:trPr>
          <w:trHeight w:val="1019"/>
        </w:trPr>
        <w:tc>
          <w:tcPr>
            <w:tcW w:w="3071" w:type="dxa"/>
          </w:tcPr>
          <w:p w14:paraId="608A7A9A" w14:textId="193E32C2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Mønsterbryder</w:t>
            </w:r>
          </w:p>
        </w:tc>
        <w:tc>
          <w:tcPr>
            <w:tcW w:w="3455" w:type="dxa"/>
          </w:tcPr>
          <w:p w14:paraId="3B8E4D0C" w14:textId="273B0C5E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Sociale klasser</w:t>
            </w:r>
          </w:p>
        </w:tc>
        <w:tc>
          <w:tcPr>
            <w:tcW w:w="3071" w:type="dxa"/>
          </w:tcPr>
          <w:p w14:paraId="5D2E9CCD" w14:textId="1FAAF1CB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Social mobilitet</w:t>
            </w:r>
          </w:p>
        </w:tc>
        <w:tc>
          <w:tcPr>
            <w:tcW w:w="3071" w:type="dxa"/>
          </w:tcPr>
          <w:p w14:paraId="60423D56" w14:textId="65CE1B36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Primær socialisering</w:t>
            </w:r>
          </w:p>
        </w:tc>
      </w:tr>
      <w:tr w:rsidR="00A1367C" w14:paraId="446E5C20" w14:textId="77777777" w:rsidTr="00A1367C">
        <w:trPr>
          <w:trHeight w:val="1019"/>
        </w:trPr>
        <w:tc>
          <w:tcPr>
            <w:tcW w:w="3071" w:type="dxa"/>
          </w:tcPr>
          <w:p w14:paraId="45F5291C" w14:textId="0355A054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Sekundær socialisering</w:t>
            </w:r>
          </w:p>
        </w:tc>
        <w:tc>
          <w:tcPr>
            <w:tcW w:w="3455" w:type="dxa"/>
          </w:tcPr>
          <w:p w14:paraId="6936E086" w14:textId="1E8F1656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Dobbeltsocialisering</w:t>
            </w:r>
          </w:p>
        </w:tc>
        <w:tc>
          <w:tcPr>
            <w:tcW w:w="3071" w:type="dxa"/>
          </w:tcPr>
          <w:p w14:paraId="79506E36" w14:textId="5E9DF53A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Det traditionelle samfund</w:t>
            </w:r>
          </w:p>
        </w:tc>
        <w:tc>
          <w:tcPr>
            <w:tcW w:w="3071" w:type="dxa"/>
          </w:tcPr>
          <w:p w14:paraId="1DA0FF49" w14:textId="146F1A7A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Det moderne samfund</w:t>
            </w:r>
          </w:p>
        </w:tc>
      </w:tr>
      <w:tr w:rsidR="00A1367C" w14:paraId="748EA6C4" w14:textId="77777777" w:rsidTr="00A1367C">
        <w:trPr>
          <w:trHeight w:val="1034"/>
        </w:trPr>
        <w:tc>
          <w:tcPr>
            <w:tcW w:w="3071" w:type="dxa"/>
          </w:tcPr>
          <w:p w14:paraId="58D111D6" w14:textId="1EA8D4FB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Det senmoderne samfund</w:t>
            </w:r>
          </w:p>
        </w:tc>
        <w:tc>
          <w:tcPr>
            <w:tcW w:w="3455" w:type="dxa"/>
          </w:tcPr>
          <w:p w14:paraId="67A63341" w14:textId="445656A5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Face</w:t>
            </w:r>
          </w:p>
        </w:tc>
        <w:tc>
          <w:tcPr>
            <w:tcW w:w="3071" w:type="dxa"/>
          </w:tcPr>
          <w:p w14:paraId="6E092FC2" w14:textId="09D1CC57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Backstage</w:t>
            </w:r>
          </w:p>
        </w:tc>
        <w:tc>
          <w:tcPr>
            <w:tcW w:w="3071" w:type="dxa"/>
          </w:tcPr>
          <w:p w14:paraId="717A1BEF" w14:textId="26CE05AC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Frontstage</w:t>
            </w:r>
          </w:p>
        </w:tc>
      </w:tr>
      <w:tr w:rsidR="00A1367C" w14:paraId="0C8DECA4" w14:textId="77777777" w:rsidTr="00A1367C">
        <w:trPr>
          <w:trHeight w:val="1528"/>
        </w:trPr>
        <w:tc>
          <w:tcPr>
            <w:tcW w:w="3071" w:type="dxa"/>
          </w:tcPr>
          <w:p w14:paraId="1FA0B2A7" w14:textId="5C6E4BD6" w:rsidR="00A1367C" w:rsidRPr="00A1367C" w:rsidRDefault="00A1367C">
            <w:pPr>
              <w:rPr>
                <w:sz w:val="40"/>
                <w:szCs w:val="40"/>
              </w:rPr>
            </w:pPr>
            <w:proofErr w:type="spellStart"/>
            <w:r w:rsidRPr="00A1367C">
              <w:rPr>
                <w:sz w:val="40"/>
                <w:szCs w:val="40"/>
              </w:rPr>
              <w:t>Setting</w:t>
            </w:r>
            <w:proofErr w:type="spellEnd"/>
          </w:p>
        </w:tc>
        <w:tc>
          <w:tcPr>
            <w:tcW w:w="3455" w:type="dxa"/>
          </w:tcPr>
          <w:p w14:paraId="72F27779" w14:textId="5C4D4A5F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 xml:space="preserve">Giddens teori: </w:t>
            </w:r>
            <w:proofErr w:type="spellStart"/>
            <w:r w:rsidRPr="00A1367C">
              <w:rPr>
                <w:sz w:val="40"/>
                <w:szCs w:val="40"/>
              </w:rPr>
              <w:t>Udlejlring</w:t>
            </w:r>
            <w:proofErr w:type="spellEnd"/>
            <w:r w:rsidRPr="00A1367C">
              <w:rPr>
                <w:sz w:val="40"/>
                <w:szCs w:val="40"/>
              </w:rPr>
              <w:t xml:space="preserve"> af sociale relationer</w:t>
            </w:r>
          </w:p>
        </w:tc>
        <w:tc>
          <w:tcPr>
            <w:tcW w:w="3071" w:type="dxa"/>
          </w:tcPr>
          <w:p w14:paraId="5ADE4FBF" w14:textId="4D013CA4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Giddens teori: Adskillelse af tid og rum</w:t>
            </w:r>
          </w:p>
        </w:tc>
        <w:tc>
          <w:tcPr>
            <w:tcW w:w="3071" w:type="dxa"/>
          </w:tcPr>
          <w:p w14:paraId="1DA636B8" w14:textId="2879DA3E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Giddens teori: Øget refleksivitet</w:t>
            </w:r>
          </w:p>
        </w:tc>
      </w:tr>
      <w:tr w:rsidR="00A1367C" w14:paraId="5021D2BC" w14:textId="77777777" w:rsidTr="00A1367C">
        <w:trPr>
          <w:trHeight w:val="509"/>
        </w:trPr>
        <w:tc>
          <w:tcPr>
            <w:tcW w:w="3071" w:type="dxa"/>
          </w:tcPr>
          <w:p w14:paraId="515FA017" w14:textId="72BB038E" w:rsidR="00A1367C" w:rsidRPr="00A1367C" w:rsidRDefault="00A1367C">
            <w:pPr>
              <w:rPr>
                <w:sz w:val="40"/>
                <w:szCs w:val="40"/>
              </w:rPr>
            </w:pPr>
            <w:proofErr w:type="spellStart"/>
            <w:r w:rsidRPr="00A1367C">
              <w:rPr>
                <w:sz w:val="40"/>
                <w:szCs w:val="40"/>
              </w:rPr>
              <w:t>Subjektivisering</w:t>
            </w:r>
            <w:proofErr w:type="spellEnd"/>
          </w:p>
        </w:tc>
        <w:tc>
          <w:tcPr>
            <w:tcW w:w="3455" w:type="dxa"/>
          </w:tcPr>
          <w:p w14:paraId="5C8D75DC" w14:textId="2C59FCF2" w:rsidR="00A1367C" w:rsidRPr="00A1367C" w:rsidRDefault="00A1367C">
            <w:pPr>
              <w:rPr>
                <w:sz w:val="40"/>
                <w:szCs w:val="40"/>
              </w:rPr>
            </w:pPr>
            <w:proofErr w:type="spellStart"/>
            <w:r w:rsidRPr="00A1367C">
              <w:rPr>
                <w:sz w:val="40"/>
                <w:szCs w:val="40"/>
              </w:rPr>
              <w:t>Ontologisering</w:t>
            </w:r>
            <w:proofErr w:type="spellEnd"/>
          </w:p>
        </w:tc>
        <w:tc>
          <w:tcPr>
            <w:tcW w:w="3071" w:type="dxa"/>
          </w:tcPr>
          <w:p w14:paraId="39EF5B27" w14:textId="669B5FBA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Potensering</w:t>
            </w:r>
          </w:p>
        </w:tc>
        <w:tc>
          <w:tcPr>
            <w:tcW w:w="3071" w:type="dxa"/>
          </w:tcPr>
          <w:p w14:paraId="2E88C607" w14:textId="3BB52563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Risikosamfundet</w:t>
            </w:r>
          </w:p>
        </w:tc>
      </w:tr>
      <w:tr w:rsidR="00A1367C" w14:paraId="0511C933" w14:textId="77777777" w:rsidTr="00A1367C">
        <w:trPr>
          <w:trHeight w:val="1543"/>
        </w:trPr>
        <w:tc>
          <w:tcPr>
            <w:tcW w:w="3071" w:type="dxa"/>
          </w:tcPr>
          <w:p w14:paraId="006AB057" w14:textId="56347B4A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Institutionaliseret individualisme</w:t>
            </w:r>
          </w:p>
        </w:tc>
        <w:tc>
          <w:tcPr>
            <w:tcW w:w="3455" w:type="dxa"/>
          </w:tcPr>
          <w:p w14:paraId="17FB9867" w14:textId="2F73A4CF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”Det er de andre der er vores lykkes smed”</w:t>
            </w:r>
          </w:p>
        </w:tc>
        <w:tc>
          <w:tcPr>
            <w:tcW w:w="3071" w:type="dxa"/>
          </w:tcPr>
          <w:p w14:paraId="2A1273FF" w14:textId="6140D1E8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Habitus</w:t>
            </w:r>
          </w:p>
        </w:tc>
        <w:tc>
          <w:tcPr>
            <w:tcW w:w="3071" w:type="dxa"/>
          </w:tcPr>
          <w:p w14:paraId="20F8D50B" w14:textId="796B0F32" w:rsidR="00A1367C" w:rsidRPr="00A1367C" w:rsidRDefault="00A1367C">
            <w:pPr>
              <w:rPr>
                <w:sz w:val="40"/>
                <w:szCs w:val="40"/>
              </w:rPr>
            </w:pPr>
            <w:r w:rsidRPr="00A1367C">
              <w:rPr>
                <w:sz w:val="40"/>
                <w:szCs w:val="40"/>
              </w:rPr>
              <w:t>Normer/værdier</w:t>
            </w:r>
          </w:p>
        </w:tc>
      </w:tr>
    </w:tbl>
    <w:p w14:paraId="35658B1F" w14:textId="3CE67FE8" w:rsidR="009A4AE8" w:rsidRDefault="009A4AE8"/>
    <w:sectPr w:rsidR="009A4AE8" w:rsidSect="00A1367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7C"/>
    <w:rsid w:val="00437436"/>
    <w:rsid w:val="007960AE"/>
    <w:rsid w:val="009A4AE8"/>
    <w:rsid w:val="00A1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FEFD"/>
  <w15:chartTrackingRefBased/>
  <w15:docId w15:val="{4D60679B-4810-4FE4-B646-952C9425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3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3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3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3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3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3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3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3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3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3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3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3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36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36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36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36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36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36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13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3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3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3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13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36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136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136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3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36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1367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1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550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2025-01-27T11:08:00Z</dcterms:created>
  <dcterms:modified xsi:type="dcterms:W3CDTF">2025-01-27T11:18:00Z</dcterms:modified>
</cp:coreProperties>
</file>