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7081" w14:textId="77777777" w:rsidR="00234CF1" w:rsidRPr="00234CF1" w:rsidRDefault="00234CF1" w:rsidP="00234CF1">
      <w:pPr>
        <w:tabs>
          <w:tab w:val="left" w:pos="360"/>
          <w:tab w:val="left" w:pos="720"/>
        </w:tabs>
        <w:rPr>
          <w:rFonts w:ascii="Arial" w:hAnsi="Arial" w:cs="Arial"/>
        </w:rPr>
      </w:pPr>
      <w:r w:rsidRPr="00234CF1">
        <w:rPr>
          <w:rFonts w:ascii="Arial" w:hAnsi="Arial" w:cs="Arial"/>
          <w:b/>
          <w:sz w:val="32"/>
          <w:szCs w:val="32"/>
        </w:rPr>
        <w:t>Indgreb i kemisk ligevægt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</w:rPr>
        <w:t>- vejledning til rapportskrivning</w:t>
      </w:r>
    </w:p>
    <w:p w14:paraId="5EBCDDCD" w14:textId="77777777" w:rsidR="00E91C7D" w:rsidRDefault="00E91C7D" w:rsidP="00A2160A">
      <w:pPr>
        <w:pStyle w:val="Overskrift2"/>
        <w:pBdr>
          <w:bottom w:val="single" w:sz="4" w:space="1" w:color="auto"/>
        </w:pBdr>
        <w:tabs>
          <w:tab w:val="right" w:pos="9180"/>
        </w:tabs>
      </w:pPr>
    </w:p>
    <w:p w14:paraId="0E95F29E" w14:textId="77777777" w:rsidR="00A2160A" w:rsidRDefault="00234CF1" w:rsidP="00A2160A">
      <w:pPr>
        <w:pStyle w:val="Overskrift2"/>
        <w:pBdr>
          <w:bottom w:val="single" w:sz="4" w:space="1" w:color="auto"/>
        </w:pBdr>
        <w:tabs>
          <w:tab w:val="right" w:pos="9180"/>
        </w:tabs>
      </w:pPr>
      <w:r>
        <w:t>Indledning</w:t>
      </w:r>
      <w:r w:rsidR="00A2160A">
        <w:tab/>
      </w:r>
    </w:p>
    <w:p w14:paraId="29895584" w14:textId="77777777" w:rsidR="00237390" w:rsidRDefault="00237390" w:rsidP="00234CF1">
      <w:pPr>
        <w:tabs>
          <w:tab w:val="left" w:pos="360"/>
          <w:tab w:val="left" w:pos="720"/>
        </w:tabs>
      </w:pPr>
    </w:p>
    <w:p w14:paraId="14A272AF" w14:textId="77777777" w:rsidR="00234CF1" w:rsidRPr="00666F5D" w:rsidRDefault="00234CF1" w:rsidP="00234CF1">
      <w:pPr>
        <w:tabs>
          <w:tab w:val="left" w:pos="360"/>
          <w:tab w:val="left" w:pos="720"/>
        </w:tabs>
      </w:pPr>
      <w:r>
        <w:t xml:space="preserve">Nedenfor følger en kort vejledning til rapporten over reaktionen mellem </w:t>
      </w:r>
      <w:r w:rsidRPr="00666F5D">
        <w:t>CoCl</w:t>
      </w:r>
      <w:r w:rsidRPr="00666F5D">
        <w:rPr>
          <w:vertAlign w:val="subscript"/>
        </w:rPr>
        <w:t>4</w:t>
      </w:r>
      <w:r w:rsidRPr="00666F5D">
        <w:rPr>
          <w:vertAlign w:val="superscript"/>
        </w:rPr>
        <w:t>2-</w:t>
      </w:r>
      <w:r w:rsidRPr="00666F5D">
        <w:t>-ionen og H</w:t>
      </w:r>
      <w:r w:rsidRPr="00666F5D">
        <w:rPr>
          <w:vertAlign w:val="subscript"/>
        </w:rPr>
        <w:t>2</w:t>
      </w:r>
      <w:r w:rsidRPr="00666F5D">
        <w:t xml:space="preserve">O i en </w:t>
      </w:r>
      <w:proofErr w:type="spellStart"/>
      <w:r w:rsidRPr="00666F5D">
        <w:t>ethanolopløsning</w:t>
      </w:r>
      <w:proofErr w:type="spellEnd"/>
      <w:r w:rsidRPr="00666F5D">
        <w:t>:</w:t>
      </w:r>
    </w:p>
    <w:p w14:paraId="37167339" w14:textId="77777777" w:rsidR="00234CF1" w:rsidRPr="00666F5D" w:rsidRDefault="00234CF1" w:rsidP="00234CF1">
      <w:pPr>
        <w:tabs>
          <w:tab w:val="left" w:pos="360"/>
          <w:tab w:val="left" w:pos="720"/>
        </w:tabs>
      </w:pPr>
    </w:p>
    <w:p w14:paraId="734F2EC4" w14:textId="77777777" w:rsidR="00234CF1" w:rsidRPr="00666F5D" w:rsidRDefault="00234CF1" w:rsidP="00234CF1">
      <w:pPr>
        <w:tabs>
          <w:tab w:val="left" w:pos="360"/>
          <w:tab w:val="left" w:pos="720"/>
        </w:tabs>
      </w:pPr>
    </w:p>
    <w:p w14:paraId="3FC205F8" w14:textId="77777777" w:rsidR="00234CF1" w:rsidRPr="00666F5D" w:rsidRDefault="00234CF1" w:rsidP="00234CF1">
      <w:pPr>
        <w:tabs>
          <w:tab w:val="left" w:pos="360"/>
          <w:tab w:val="left" w:pos="720"/>
        </w:tabs>
      </w:pPr>
    </w:p>
    <w:p w14:paraId="116BE32C" w14:textId="77777777" w:rsidR="00234CF1" w:rsidRPr="00234CF1" w:rsidRDefault="00234CF1" w:rsidP="00234CF1">
      <w:pPr>
        <w:tabs>
          <w:tab w:val="left" w:pos="360"/>
          <w:tab w:val="left" w:pos="720"/>
        </w:tabs>
        <w:rPr>
          <w:lang w:val="en-US"/>
        </w:rPr>
      </w:pPr>
      <w:r w:rsidRPr="00D234FE">
        <w:t xml:space="preserve">                     </w:t>
      </w:r>
      <w:r w:rsidRPr="00234CF1">
        <w:rPr>
          <w:lang w:val="en-US"/>
        </w:rPr>
        <w:t>CoCl</w:t>
      </w:r>
      <w:r w:rsidRPr="00234CF1">
        <w:rPr>
          <w:vertAlign w:val="subscript"/>
          <w:lang w:val="en-US"/>
        </w:rPr>
        <w:t>4</w:t>
      </w:r>
      <w:r w:rsidRPr="00234CF1">
        <w:rPr>
          <w:vertAlign w:val="superscript"/>
          <w:lang w:val="en-US"/>
        </w:rPr>
        <w:t>2-</w:t>
      </w:r>
      <w:r w:rsidRPr="00234CF1">
        <w:rPr>
          <w:lang w:val="en-US"/>
        </w:rPr>
        <w:t>(</w:t>
      </w:r>
      <w:proofErr w:type="gramStart"/>
      <w:r w:rsidRPr="00234CF1">
        <w:rPr>
          <w:lang w:val="en-US"/>
        </w:rPr>
        <w:t>ethanol)  +</w:t>
      </w:r>
      <w:proofErr w:type="gramEnd"/>
      <w:r w:rsidRPr="00234CF1">
        <w:rPr>
          <w:lang w:val="en-US"/>
        </w:rPr>
        <w:t xml:space="preserve">  6 H</w:t>
      </w:r>
      <w:r w:rsidRPr="00234CF1">
        <w:rPr>
          <w:vertAlign w:val="subscript"/>
          <w:lang w:val="en-US"/>
        </w:rPr>
        <w:t>2</w:t>
      </w:r>
      <w:r w:rsidRPr="00234CF1">
        <w:rPr>
          <w:lang w:val="en-US"/>
        </w:rPr>
        <w:t xml:space="preserve">O(ethanol)   </w:t>
      </w:r>
      <w:r>
        <w:rPr>
          <w:noProof/>
          <w:color w:val="0000FF"/>
        </w:rPr>
        <w:drawing>
          <wp:inline distT="0" distB="0" distL="0" distR="0" wp14:anchorId="30993B51" wp14:editId="01855497">
            <wp:extent cx="152400" cy="123825"/>
            <wp:effectExtent l="0" t="0" r="0" b="9525"/>
            <wp:docPr id="1" name="Billede 1" descr="Billedresultat for chemical equilibriu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chemical equilibriu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CF1">
        <w:rPr>
          <w:color w:val="0000FF"/>
          <w:lang w:val="en-US"/>
        </w:rPr>
        <w:t xml:space="preserve">   </w:t>
      </w:r>
      <w:r w:rsidRPr="00234CF1">
        <w:rPr>
          <w:lang w:val="en-US"/>
        </w:rPr>
        <w:t>Co(H</w:t>
      </w:r>
      <w:r w:rsidRPr="00234CF1">
        <w:rPr>
          <w:vertAlign w:val="subscript"/>
          <w:lang w:val="en-US"/>
        </w:rPr>
        <w:t>2</w:t>
      </w:r>
      <w:r w:rsidRPr="00234CF1">
        <w:rPr>
          <w:lang w:val="en-US"/>
        </w:rPr>
        <w:t>O)</w:t>
      </w:r>
      <w:r w:rsidRPr="00234CF1">
        <w:rPr>
          <w:vertAlign w:val="subscript"/>
          <w:lang w:val="en-US"/>
        </w:rPr>
        <w:t>6</w:t>
      </w:r>
      <w:r w:rsidRPr="00234CF1">
        <w:rPr>
          <w:vertAlign w:val="superscript"/>
          <w:lang w:val="en-US"/>
        </w:rPr>
        <w:t>2+</w:t>
      </w:r>
      <w:r w:rsidRPr="00234CF1">
        <w:rPr>
          <w:lang w:val="en-US"/>
        </w:rPr>
        <w:t>(ethanol) +4 Cl</w:t>
      </w:r>
      <w:r w:rsidRPr="00234CF1">
        <w:rPr>
          <w:vertAlign w:val="superscript"/>
          <w:lang w:val="en-US"/>
        </w:rPr>
        <w:t>-</w:t>
      </w:r>
      <w:r w:rsidRPr="00234CF1">
        <w:rPr>
          <w:lang w:val="en-US"/>
        </w:rPr>
        <w:t>(ethanol)</w:t>
      </w:r>
    </w:p>
    <w:p w14:paraId="72F6CDEC" w14:textId="77777777" w:rsidR="00234CF1" w:rsidRPr="00666F5D" w:rsidRDefault="00234CF1" w:rsidP="00234CF1">
      <w:pPr>
        <w:tabs>
          <w:tab w:val="left" w:pos="360"/>
          <w:tab w:val="left" w:pos="720"/>
        </w:tabs>
      </w:pPr>
      <w:r w:rsidRPr="00234CF1">
        <w:rPr>
          <w:lang w:val="en-US"/>
        </w:rPr>
        <w:t xml:space="preserve">                        </w:t>
      </w:r>
      <w:r w:rsidRPr="007E2468">
        <w:rPr>
          <w:color w:val="2118D8"/>
        </w:rPr>
        <w:t>blå</w:t>
      </w:r>
      <w:r w:rsidRPr="00666F5D">
        <w:t xml:space="preserve">                                                        </w:t>
      </w:r>
      <w:r>
        <w:t xml:space="preserve">    </w:t>
      </w:r>
      <w:r w:rsidRPr="00666F5D">
        <w:t xml:space="preserve">    </w:t>
      </w:r>
      <w:r w:rsidRPr="00D64275">
        <w:rPr>
          <w:color w:val="FF3399"/>
        </w:rPr>
        <w:t>pink</w:t>
      </w:r>
    </w:p>
    <w:p w14:paraId="0146C6C2" w14:textId="77777777" w:rsidR="00234CF1" w:rsidRPr="00666F5D" w:rsidRDefault="00234CF1" w:rsidP="00234CF1">
      <w:pPr>
        <w:tabs>
          <w:tab w:val="left" w:pos="360"/>
          <w:tab w:val="left" w:pos="720"/>
        </w:tabs>
      </w:pPr>
    </w:p>
    <w:p w14:paraId="1343A2DF" w14:textId="1257F21E" w:rsidR="00234CF1" w:rsidRDefault="00234CF1" w:rsidP="00234CF1">
      <w:pPr>
        <w:tabs>
          <w:tab w:val="left" w:pos="360"/>
          <w:tab w:val="left" w:pos="720"/>
        </w:tabs>
      </w:pPr>
      <w:r w:rsidRPr="00A31395">
        <w:t>CoCl</w:t>
      </w:r>
      <w:r w:rsidRPr="00A31395">
        <w:rPr>
          <w:vertAlign w:val="subscript"/>
        </w:rPr>
        <w:t>4</w:t>
      </w:r>
      <w:r w:rsidRPr="00A31395">
        <w:rPr>
          <w:vertAlign w:val="superscript"/>
        </w:rPr>
        <w:t>2-</w:t>
      </w:r>
      <w:r w:rsidRPr="00A31395">
        <w:t xml:space="preserve"> og </w:t>
      </w:r>
      <w:proofErr w:type="gramStart"/>
      <w:r w:rsidRPr="00A31395">
        <w:t>Co(</w:t>
      </w:r>
      <w:proofErr w:type="gramEnd"/>
      <w:r w:rsidRPr="00A31395">
        <w:t>H</w:t>
      </w:r>
      <w:r w:rsidRPr="00A31395">
        <w:rPr>
          <w:vertAlign w:val="subscript"/>
        </w:rPr>
        <w:t>2</w:t>
      </w:r>
      <w:r w:rsidRPr="00A31395">
        <w:t>O)</w:t>
      </w:r>
      <w:r w:rsidRPr="00A31395">
        <w:rPr>
          <w:vertAlign w:val="subscript"/>
        </w:rPr>
        <w:t>6</w:t>
      </w:r>
      <w:r w:rsidRPr="00A31395">
        <w:rPr>
          <w:vertAlign w:val="superscript"/>
        </w:rPr>
        <w:t>2+</w:t>
      </w:r>
      <w:r>
        <w:t xml:space="preserve"> er kemiske forbindelser, der betegnes komplekser. Komplekser består sædvanligvis af en </w:t>
      </w:r>
      <w:proofErr w:type="spellStart"/>
      <w:r>
        <w:t>metalion</w:t>
      </w:r>
      <w:proofErr w:type="spellEnd"/>
      <w:r>
        <w:t xml:space="preserve">, hvortil der er bundet et antal molekyler eller ioner (oftest negative). Komplekser kendes fx fra vandige opløsninger af </w:t>
      </w:r>
      <w:proofErr w:type="spellStart"/>
      <w:r>
        <w:t>metalioner</w:t>
      </w:r>
      <w:proofErr w:type="spellEnd"/>
      <w:r>
        <w:t xml:space="preserve"> fx Fe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og Cu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som faktisk er komplekserne </w:t>
      </w:r>
      <w:proofErr w:type="gramStart"/>
      <w:r>
        <w:t>Fe</w:t>
      </w:r>
      <w:r w:rsidRPr="001A4A9D">
        <w:t>(</w:t>
      </w:r>
      <w:proofErr w:type="gramEnd"/>
      <w:r w:rsidRPr="001A4A9D">
        <w:t>H</w:t>
      </w:r>
      <w:r w:rsidRPr="001A4A9D">
        <w:rPr>
          <w:vertAlign w:val="subscript"/>
        </w:rPr>
        <w:t>2</w:t>
      </w:r>
      <w:r w:rsidRPr="001A4A9D">
        <w:t>O)</w:t>
      </w:r>
      <w:r w:rsidRPr="001A4A9D">
        <w:rPr>
          <w:vertAlign w:val="subscript"/>
        </w:rPr>
        <w:t>6</w:t>
      </w:r>
      <w:r w:rsidRPr="001A4A9D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og Cu</w:t>
      </w:r>
      <w:r w:rsidRPr="001A4A9D">
        <w:t>(H</w:t>
      </w:r>
      <w:r w:rsidRPr="001A4A9D">
        <w:rPr>
          <w:vertAlign w:val="subscript"/>
        </w:rPr>
        <w:t>2</w:t>
      </w:r>
      <w:r w:rsidRPr="001A4A9D">
        <w:t>O)</w:t>
      </w:r>
      <w:r>
        <w:rPr>
          <w:vertAlign w:val="subscript"/>
        </w:rPr>
        <w:t>4</w:t>
      </w:r>
      <w:r w:rsidRPr="001A4A9D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).</w:t>
      </w:r>
    </w:p>
    <w:p w14:paraId="24CC06CD" w14:textId="77777777" w:rsidR="00DF54AD" w:rsidRPr="001A4A9D" w:rsidRDefault="00DF54AD" w:rsidP="00234CF1">
      <w:pPr>
        <w:tabs>
          <w:tab w:val="left" w:pos="360"/>
          <w:tab w:val="left" w:pos="720"/>
        </w:tabs>
      </w:pPr>
    </w:p>
    <w:p w14:paraId="422DB7E2" w14:textId="77777777" w:rsidR="00237390" w:rsidRDefault="00237390" w:rsidP="00237390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Ligevægtsblandingen</w:t>
      </w:r>
      <w:r>
        <w:tab/>
      </w:r>
    </w:p>
    <w:p w14:paraId="6EF42D48" w14:textId="77777777" w:rsidR="00237390" w:rsidRDefault="00237390" w:rsidP="00237390">
      <w:pPr>
        <w:tabs>
          <w:tab w:val="left" w:pos="360"/>
          <w:tab w:val="left" w:pos="720"/>
        </w:tabs>
      </w:pPr>
    </w:p>
    <w:p w14:paraId="287A12F3" w14:textId="77777777" w:rsidR="00872A45" w:rsidRPr="00237390" w:rsidRDefault="00420C72" w:rsidP="00237390">
      <w:pPr>
        <w:tabs>
          <w:tab w:val="left" w:pos="360"/>
          <w:tab w:val="left" w:pos="720"/>
        </w:tabs>
      </w:pPr>
      <w:r>
        <w:t>L</w:t>
      </w:r>
      <w:r w:rsidR="00234CF1" w:rsidRPr="00237390">
        <w:t>igevægtsblandingen er en ca. 0,2 M opløsning af CoCl</w:t>
      </w:r>
      <w:r w:rsidR="00234CF1" w:rsidRPr="00237390">
        <w:rPr>
          <w:vertAlign w:val="subscript"/>
        </w:rPr>
        <w:t>2</w:t>
      </w:r>
      <w:r w:rsidR="00234CF1" w:rsidRPr="00237390">
        <w:t xml:space="preserve"> i en </w:t>
      </w:r>
      <w:proofErr w:type="spellStart"/>
      <w:r w:rsidR="00234CF1" w:rsidRPr="00237390">
        <w:t>ethanol</w:t>
      </w:r>
      <w:proofErr w:type="spellEnd"/>
      <w:r w:rsidR="00234CF1" w:rsidRPr="00237390">
        <w:t xml:space="preserve">/vand-blanding. </w:t>
      </w:r>
      <w:r w:rsidR="00F570AC" w:rsidRPr="00237390">
        <w:t>Den fremstilles</w:t>
      </w:r>
      <w:r w:rsidR="00234CF1" w:rsidRPr="00237390">
        <w:t xml:space="preserve"> ved at afveje 12,984 g (0,1 mol) </w:t>
      </w:r>
      <w:proofErr w:type="spellStart"/>
      <w:r w:rsidR="00234CF1" w:rsidRPr="00237390">
        <w:t>cobaltchlorid</w:t>
      </w:r>
      <w:proofErr w:type="spellEnd"/>
      <w:r w:rsidR="00234CF1" w:rsidRPr="00237390">
        <w:t>)</w:t>
      </w:r>
      <w:r w:rsidR="00F570AC" w:rsidRPr="00237390">
        <w:t>,</w:t>
      </w:r>
      <w:r w:rsidR="00234CF1" w:rsidRPr="00237390">
        <w:t xml:space="preserve"> som over</w:t>
      </w:r>
      <w:r w:rsidR="00F570AC" w:rsidRPr="00237390">
        <w:t xml:space="preserve">føres til en 500 </w:t>
      </w:r>
      <w:proofErr w:type="spellStart"/>
      <w:r w:rsidR="00F570AC" w:rsidRPr="00237390">
        <w:t>mL</w:t>
      </w:r>
      <w:proofErr w:type="spellEnd"/>
      <w:r w:rsidR="00F570AC" w:rsidRPr="00237390">
        <w:t xml:space="preserve"> målekolbe, der indeholder ca. 400 </w:t>
      </w:r>
      <w:proofErr w:type="spellStart"/>
      <w:r w:rsidR="00F570AC" w:rsidRPr="00237390">
        <w:t>mL</w:t>
      </w:r>
      <w:proofErr w:type="spellEnd"/>
      <w:r w:rsidR="00F570AC" w:rsidRPr="00237390">
        <w:t xml:space="preserve"> </w:t>
      </w:r>
      <w:proofErr w:type="spellStart"/>
      <w:r w:rsidR="00F570AC" w:rsidRPr="00237390">
        <w:t>ethanol</w:t>
      </w:r>
      <w:proofErr w:type="spellEnd"/>
      <w:r w:rsidR="00F570AC" w:rsidRPr="00237390">
        <w:t xml:space="preserve"> (99,9 % </w:t>
      </w:r>
      <w:proofErr w:type="spellStart"/>
      <w:r w:rsidR="00F570AC" w:rsidRPr="00237390">
        <w:t>ethanol</w:t>
      </w:r>
      <w:proofErr w:type="spellEnd"/>
      <w:r w:rsidR="00F570AC" w:rsidRPr="00237390">
        <w:t xml:space="preserve">). Dette sker under omrøring og der tilføres 73 </w:t>
      </w:r>
      <w:proofErr w:type="spellStart"/>
      <w:r w:rsidR="00F570AC" w:rsidRPr="00237390">
        <w:t>mL</w:t>
      </w:r>
      <w:proofErr w:type="spellEnd"/>
      <w:r w:rsidR="00F570AC" w:rsidRPr="00237390">
        <w:t xml:space="preserve"> demineraliseret vand. Når saltet er opløst efterfyldes med </w:t>
      </w:r>
      <w:proofErr w:type="spellStart"/>
      <w:r w:rsidR="00F570AC" w:rsidRPr="00237390">
        <w:t>ethanol</w:t>
      </w:r>
      <w:proofErr w:type="spellEnd"/>
      <w:r w:rsidR="00F570AC" w:rsidRPr="00237390">
        <w:t xml:space="preserve"> til mærket på kolben eller til opløsningen har en passende blandingsfarve af de to </w:t>
      </w:r>
      <w:proofErr w:type="spellStart"/>
      <w:r w:rsidR="00F570AC" w:rsidRPr="00237390">
        <w:t>cobaltkomplekser</w:t>
      </w:r>
      <w:proofErr w:type="spellEnd"/>
    </w:p>
    <w:p w14:paraId="6E35CE6A" w14:textId="77777777" w:rsidR="00234CF1" w:rsidRDefault="00234CF1" w:rsidP="0088343D">
      <w:pPr>
        <w:pStyle w:val="Overskrift2"/>
        <w:pBdr>
          <w:bottom w:val="single" w:sz="4" w:space="1" w:color="auto"/>
        </w:pBdr>
        <w:tabs>
          <w:tab w:val="right" w:pos="9360"/>
        </w:tabs>
      </w:pPr>
    </w:p>
    <w:p w14:paraId="213CA60E" w14:textId="77777777" w:rsidR="00420C72" w:rsidRDefault="00420C72" w:rsidP="00420C72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Rapporten</w:t>
      </w:r>
      <w:r>
        <w:tab/>
      </w:r>
    </w:p>
    <w:p w14:paraId="2EBB3024" w14:textId="77777777" w:rsidR="00420C72" w:rsidRDefault="00420C72" w:rsidP="00420C72">
      <w:pPr>
        <w:tabs>
          <w:tab w:val="left" w:pos="360"/>
          <w:tab w:val="left" w:pos="720"/>
        </w:tabs>
      </w:pPr>
    </w:p>
    <w:p w14:paraId="5E32B2BD" w14:textId="77777777" w:rsidR="008B3CFF" w:rsidRDefault="00420C72" w:rsidP="00420C72">
      <w:pPr>
        <w:tabs>
          <w:tab w:val="left" w:pos="426"/>
          <w:tab w:val="left" w:pos="720"/>
        </w:tabs>
      </w:pPr>
      <w:r>
        <w:t>Skriv en rapport over indgrebene med sædvanlig rapportstruktur. Der er</w:t>
      </w:r>
      <w:r w:rsidR="00FC2612">
        <w:t xml:space="preserve"> særlige</w:t>
      </w:r>
      <w:r>
        <w:t xml:space="preserve"> krav til nogle af rapportens afsnit</w:t>
      </w:r>
      <w:r w:rsidR="008B3CFF">
        <w:t>:</w:t>
      </w:r>
    </w:p>
    <w:p w14:paraId="59FFD872" w14:textId="77777777" w:rsidR="00420C72" w:rsidRDefault="008B3CFF" w:rsidP="00420C72">
      <w:pPr>
        <w:tabs>
          <w:tab w:val="left" w:pos="426"/>
          <w:tab w:val="left" w:pos="720"/>
        </w:tabs>
      </w:pPr>
      <w:r>
        <w:br/>
        <w:t>TEORI</w:t>
      </w:r>
    </w:p>
    <w:p w14:paraId="471F7ACF" w14:textId="77777777" w:rsidR="00420C72" w:rsidRDefault="00420C72" w:rsidP="008B3CFF">
      <w:pPr>
        <w:tabs>
          <w:tab w:val="left" w:pos="426"/>
          <w:tab w:val="left" w:pos="720"/>
        </w:tabs>
      </w:pPr>
      <w:r>
        <w:t>I teoriafsnittet</w:t>
      </w:r>
      <w:r w:rsidR="00933CDC">
        <w:t xml:space="preserve"> </w:t>
      </w:r>
      <w:r w:rsidR="008B3CFF">
        <w:t>forklares</w:t>
      </w:r>
      <w:r>
        <w:t xml:space="preserve"> BLANDT ANDET, hvilken betydning det har, at </w:t>
      </w:r>
      <w:proofErr w:type="spellStart"/>
      <w:r>
        <w:t>ethanol</w:t>
      </w:r>
      <w:proofErr w:type="spellEnd"/>
      <w:r>
        <w:t xml:space="preserve"> og ikke vand benyttes som opløsningsmiddel</w:t>
      </w:r>
      <w:r>
        <w:br/>
      </w:r>
    </w:p>
    <w:p w14:paraId="1DB73889" w14:textId="77777777" w:rsidR="00420C72" w:rsidRDefault="008B3CFF" w:rsidP="008B3CFF">
      <w:pPr>
        <w:tabs>
          <w:tab w:val="left" w:pos="426"/>
          <w:tab w:val="left" w:pos="720"/>
        </w:tabs>
      </w:pPr>
      <w:r>
        <w:t>DISKUSSION</w:t>
      </w:r>
      <w:r w:rsidR="00420C72">
        <w:br/>
        <w:t xml:space="preserve">Behandl hvert indgreb for sig. Visse indgreb er lavet er lavet af alle grupper. Disse </w:t>
      </w:r>
      <w:r>
        <w:t xml:space="preserve">indgreb </w:t>
      </w:r>
      <w:r w:rsidR="00420C72">
        <w:t>nummereres og omtales først og i denne rækkefølge:</w:t>
      </w:r>
    </w:p>
    <w:p w14:paraId="19009160" w14:textId="77777777" w:rsidR="000E2B43" w:rsidRDefault="000E2B43" w:rsidP="000E2B43">
      <w:pPr>
        <w:pStyle w:val="Listeafsnit"/>
        <w:numPr>
          <w:ilvl w:val="0"/>
          <w:numId w:val="10"/>
        </w:numPr>
        <w:tabs>
          <w:tab w:val="left" w:pos="426"/>
          <w:tab w:val="left" w:pos="720"/>
        </w:tabs>
      </w:pPr>
      <w:r>
        <w:t>Opvarmning</w:t>
      </w:r>
    </w:p>
    <w:p w14:paraId="45D5CCCB" w14:textId="77777777" w:rsidR="000E2B43" w:rsidRDefault="000E2B43" w:rsidP="000E2B43">
      <w:pPr>
        <w:pStyle w:val="Listeafsnit"/>
        <w:numPr>
          <w:ilvl w:val="0"/>
          <w:numId w:val="10"/>
        </w:numPr>
        <w:tabs>
          <w:tab w:val="left" w:pos="426"/>
          <w:tab w:val="left" w:pos="720"/>
        </w:tabs>
      </w:pPr>
      <w:r>
        <w:t>Afkøling</w:t>
      </w:r>
    </w:p>
    <w:p w14:paraId="361E5513" w14:textId="77777777" w:rsidR="00420C72" w:rsidRPr="00110738" w:rsidRDefault="00420C72" w:rsidP="00420C72">
      <w:pPr>
        <w:numPr>
          <w:ilvl w:val="0"/>
          <w:numId w:val="10"/>
        </w:numPr>
        <w:tabs>
          <w:tab w:val="left" w:pos="142"/>
          <w:tab w:val="left" w:pos="426"/>
        </w:tabs>
        <w:rPr>
          <w:color w:val="FF0000"/>
        </w:rPr>
      </w:pPr>
      <w:r>
        <w:rPr>
          <w:color w:val="000000"/>
        </w:rPr>
        <w:t xml:space="preserve">Tilsætning af </w:t>
      </w:r>
      <w:r w:rsidRPr="004D12BD">
        <w:t>H</w:t>
      </w:r>
      <w:r w:rsidRPr="004D12BD">
        <w:rPr>
          <w:vertAlign w:val="subscript"/>
        </w:rPr>
        <w:t>2</w:t>
      </w:r>
      <w:r w:rsidRPr="004D12BD">
        <w:t>O</w:t>
      </w:r>
    </w:p>
    <w:p w14:paraId="44B27EC3" w14:textId="77777777" w:rsidR="00420C72" w:rsidRPr="00110738" w:rsidRDefault="00420C72" w:rsidP="00420C72">
      <w:pPr>
        <w:numPr>
          <w:ilvl w:val="0"/>
          <w:numId w:val="10"/>
        </w:numPr>
        <w:tabs>
          <w:tab w:val="left" w:pos="142"/>
          <w:tab w:val="left" w:pos="426"/>
        </w:tabs>
        <w:rPr>
          <w:color w:val="FF0000"/>
        </w:rPr>
      </w:pPr>
      <w:r>
        <w:rPr>
          <w:color w:val="000000"/>
        </w:rPr>
        <w:t xml:space="preserve">Fjernelse af </w:t>
      </w:r>
      <w:r w:rsidRPr="004D12BD">
        <w:t>H</w:t>
      </w:r>
      <w:r w:rsidRPr="004D12BD">
        <w:rPr>
          <w:vertAlign w:val="subscript"/>
        </w:rPr>
        <w:t>2</w:t>
      </w:r>
      <w:r w:rsidRPr="004D12BD">
        <w:t>O</w:t>
      </w:r>
      <w:r>
        <w:t xml:space="preserve"> (ved tilsætning af </w:t>
      </w:r>
      <w:proofErr w:type="spellStart"/>
      <w:r>
        <w:t>konc</w:t>
      </w:r>
      <w:proofErr w:type="spellEnd"/>
      <w:r>
        <w:t>. svovlsyre)</w:t>
      </w:r>
    </w:p>
    <w:p w14:paraId="0EB5D5E9" w14:textId="77777777" w:rsidR="00420C72" w:rsidRPr="00110738" w:rsidRDefault="00420C72" w:rsidP="00420C72">
      <w:pPr>
        <w:numPr>
          <w:ilvl w:val="0"/>
          <w:numId w:val="10"/>
        </w:numPr>
        <w:tabs>
          <w:tab w:val="left" w:pos="142"/>
          <w:tab w:val="left" w:pos="426"/>
        </w:tabs>
        <w:rPr>
          <w:color w:val="FF0000"/>
        </w:rPr>
      </w:pPr>
      <w:r>
        <w:t>Tilsætning af Cl</w:t>
      </w:r>
      <w:r>
        <w:rPr>
          <w:vertAlign w:val="superscript"/>
        </w:rPr>
        <w:t>-</w:t>
      </w:r>
      <w:r>
        <w:t xml:space="preserve"> (ved tilsætning af </w:t>
      </w:r>
      <w:r w:rsidR="001B6836">
        <w:t>NaCl</w:t>
      </w:r>
      <w:r>
        <w:t>)</w:t>
      </w:r>
    </w:p>
    <w:p w14:paraId="70DC01AA" w14:textId="77777777" w:rsidR="00420C72" w:rsidRPr="00110738" w:rsidRDefault="00420C72" w:rsidP="00420C72">
      <w:pPr>
        <w:numPr>
          <w:ilvl w:val="0"/>
          <w:numId w:val="10"/>
        </w:numPr>
        <w:tabs>
          <w:tab w:val="left" w:pos="142"/>
          <w:tab w:val="left" w:pos="426"/>
        </w:tabs>
        <w:rPr>
          <w:color w:val="FF0000"/>
        </w:rPr>
      </w:pPr>
      <w:r>
        <w:lastRenderedPageBreak/>
        <w:t>Fjernelse af Cl</w:t>
      </w:r>
      <w:r>
        <w:rPr>
          <w:vertAlign w:val="superscript"/>
        </w:rPr>
        <w:t>-</w:t>
      </w:r>
      <w:r>
        <w:t xml:space="preserve"> (ved tilsætning </w:t>
      </w:r>
      <w:r w:rsidR="00E13DCE">
        <w:t>AgNO</w:t>
      </w:r>
      <w:r w:rsidR="00E13DCE">
        <w:rPr>
          <w:vertAlign w:val="subscript"/>
        </w:rPr>
        <w:t>3</w:t>
      </w:r>
      <w:r w:rsidR="00E13DCE">
        <w:t>(s)</w:t>
      </w:r>
      <w:r w:rsidR="008B3CFF">
        <w:t>)</w:t>
      </w:r>
    </w:p>
    <w:p w14:paraId="4338D589" w14:textId="77777777" w:rsidR="00420C72" w:rsidRPr="008B3CFF" w:rsidRDefault="00420C72" w:rsidP="00420C72">
      <w:pPr>
        <w:numPr>
          <w:ilvl w:val="0"/>
          <w:numId w:val="10"/>
        </w:numPr>
        <w:tabs>
          <w:tab w:val="left" w:pos="142"/>
          <w:tab w:val="left" w:pos="426"/>
        </w:tabs>
        <w:rPr>
          <w:color w:val="FF0000"/>
        </w:rPr>
      </w:pPr>
      <w:r>
        <w:t xml:space="preserve">Fortynding (med </w:t>
      </w:r>
      <w:r w:rsidR="00870720">
        <w:t xml:space="preserve">99,9 % </w:t>
      </w:r>
      <w:proofErr w:type="spellStart"/>
      <w:r w:rsidR="00870720">
        <w:t>ethanol</w:t>
      </w:r>
      <w:proofErr w:type="spellEnd"/>
      <w:r>
        <w:t>)</w:t>
      </w:r>
    </w:p>
    <w:p w14:paraId="7664CF7E" w14:textId="77777777" w:rsidR="008B3CFF" w:rsidRPr="00353C2F" w:rsidRDefault="008B3CFF" w:rsidP="008B3CFF">
      <w:pPr>
        <w:tabs>
          <w:tab w:val="left" w:pos="142"/>
          <w:tab w:val="left" w:pos="426"/>
        </w:tabs>
        <w:rPr>
          <w:color w:val="FF0000"/>
        </w:rPr>
      </w:pPr>
      <w:r>
        <w:br/>
        <w:t>Er der foretaget andre indgreb eller undersøgelser omtales de herefter.</w:t>
      </w:r>
    </w:p>
    <w:p w14:paraId="1479161A" w14:textId="77777777" w:rsidR="00420C72" w:rsidRDefault="00420C72" w:rsidP="00420C72">
      <w:pPr>
        <w:tabs>
          <w:tab w:val="left" w:pos="426"/>
          <w:tab w:val="left" w:pos="720"/>
        </w:tabs>
        <w:ind w:left="426"/>
      </w:pPr>
    </w:p>
    <w:p w14:paraId="0451AAB5" w14:textId="77777777" w:rsidR="00420C72" w:rsidRDefault="008B3CFF" w:rsidP="008B3CFF">
      <w:pPr>
        <w:tabs>
          <w:tab w:val="left" w:pos="426"/>
          <w:tab w:val="left" w:pos="720"/>
        </w:tabs>
      </w:pPr>
      <w:r>
        <w:t>For hvert</w:t>
      </w:r>
      <w:r w:rsidR="00420C72">
        <w:t xml:space="preserve"> indgreb skal i</w:t>
      </w:r>
      <w:r w:rsidR="00420C72" w:rsidRPr="00B972D8">
        <w:t>agttagelserne i forbindelse med i</w:t>
      </w:r>
      <w:r w:rsidR="00420C72">
        <w:t xml:space="preserve">ndgrebet </w:t>
      </w:r>
      <w:r w:rsidR="00420C72" w:rsidRPr="00B972D8">
        <w:t xml:space="preserve">forklares både vha. Le </w:t>
      </w:r>
      <w:proofErr w:type="spellStart"/>
      <w:r w:rsidR="00420C72" w:rsidRPr="00B972D8">
        <w:t>Chateliers</w:t>
      </w:r>
      <w:proofErr w:type="spellEnd"/>
      <w:r w:rsidR="00420C72" w:rsidRPr="00B972D8">
        <w:t xml:space="preserve"> Princip og ligevægtsloven.</w:t>
      </w:r>
      <w:r w:rsidR="00420C72" w:rsidRPr="00C26DC9">
        <w:t xml:space="preserve"> </w:t>
      </w:r>
      <w:r w:rsidR="00933CDC">
        <w:t>For de enkelte punkter ovenfor, er der særlige forhold, der skal diskuteres. Det er</w:t>
      </w:r>
    </w:p>
    <w:p w14:paraId="4C0E8B44" w14:textId="77777777" w:rsidR="000E2B43" w:rsidRDefault="000E2B43" w:rsidP="008B3CFF">
      <w:pPr>
        <w:tabs>
          <w:tab w:val="left" w:pos="426"/>
          <w:tab w:val="left" w:pos="720"/>
        </w:tabs>
      </w:pPr>
    </w:p>
    <w:p w14:paraId="65017B4E" w14:textId="77777777" w:rsidR="000E2B43" w:rsidRDefault="000E2B43" w:rsidP="000E2B43">
      <w:pPr>
        <w:pStyle w:val="Listeafsnit"/>
        <w:numPr>
          <w:ilvl w:val="0"/>
          <w:numId w:val="11"/>
        </w:numPr>
        <w:tabs>
          <w:tab w:val="left" w:pos="426"/>
          <w:tab w:val="left" w:pos="720"/>
        </w:tabs>
      </w:pPr>
      <w:r>
        <w:t>Hvilken retning er den e</w:t>
      </w:r>
      <w:r w:rsidR="00FC2612">
        <w:t>nd</w:t>
      </w:r>
      <w:r>
        <w:t xml:space="preserve">oterme retning. Hvad sker der med </w:t>
      </w:r>
      <w:r>
        <w:rPr>
          <w:i/>
        </w:rPr>
        <w:t>K</w:t>
      </w:r>
      <w:r w:rsidR="004E79D7">
        <w:t xml:space="preserve"> ved indgrebet</w:t>
      </w:r>
      <w:r>
        <w:t>?</w:t>
      </w:r>
    </w:p>
    <w:p w14:paraId="04E443BE" w14:textId="77777777" w:rsidR="000E2B43" w:rsidRDefault="000E2B43" w:rsidP="000E2B43">
      <w:pPr>
        <w:pStyle w:val="Listeafsnit"/>
        <w:numPr>
          <w:ilvl w:val="0"/>
          <w:numId w:val="11"/>
        </w:numPr>
        <w:tabs>
          <w:tab w:val="left" w:pos="426"/>
          <w:tab w:val="left" w:pos="720"/>
        </w:tabs>
      </w:pPr>
      <w:r>
        <w:t xml:space="preserve">Hvilken retning er den </w:t>
      </w:r>
      <w:proofErr w:type="spellStart"/>
      <w:r>
        <w:t>exoterme</w:t>
      </w:r>
      <w:proofErr w:type="spellEnd"/>
      <w:r>
        <w:t xml:space="preserve"> retning. Hvad sker der med </w:t>
      </w:r>
      <w:r>
        <w:rPr>
          <w:i/>
        </w:rPr>
        <w:t>K</w:t>
      </w:r>
      <w:r w:rsidR="004E79D7">
        <w:t xml:space="preserve"> ved indgrebet</w:t>
      </w:r>
      <w:r>
        <w:t>?</w:t>
      </w:r>
    </w:p>
    <w:p w14:paraId="440792C9" w14:textId="77777777" w:rsidR="000E2B43" w:rsidRPr="00353C2F" w:rsidRDefault="000E2B43" w:rsidP="000E2B43">
      <w:pPr>
        <w:numPr>
          <w:ilvl w:val="0"/>
          <w:numId w:val="11"/>
        </w:numPr>
        <w:tabs>
          <w:tab w:val="left" w:pos="142"/>
          <w:tab w:val="left" w:pos="426"/>
        </w:tabs>
        <w:rPr>
          <w:color w:val="FF0000"/>
        </w:rPr>
      </w:pPr>
      <w:r>
        <w:t xml:space="preserve">Spontan elevkommentar: Opløsningen bliver varmere ved indgrebet. Hvorfor? Er der variabelkontrol? Er det et problem </w:t>
      </w:r>
      <w:r w:rsidR="00FC2612">
        <w:t>i forhold til at fastslå</w:t>
      </w:r>
      <w:r>
        <w:t xml:space="preserve"> virkningen af det egentlige indgreb (tilsætning af H</w:t>
      </w:r>
      <w:r>
        <w:rPr>
          <w:vertAlign w:val="subscript"/>
        </w:rPr>
        <w:t>2</w:t>
      </w:r>
      <w:r>
        <w:t>O)?</w:t>
      </w:r>
    </w:p>
    <w:p w14:paraId="7196FCC9" w14:textId="77777777" w:rsidR="000E2B43" w:rsidRPr="00353C2F" w:rsidRDefault="000E2B43" w:rsidP="000E2B43">
      <w:pPr>
        <w:numPr>
          <w:ilvl w:val="0"/>
          <w:numId w:val="11"/>
        </w:numPr>
        <w:tabs>
          <w:tab w:val="left" w:pos="142"/>
          <w:tab w:val="left" w:pos="426"/>
        </w:tabs>
        <w:rPr>
          <w:color w:val="FF0000"/>
        </w:rPr>
      </w:pPr>
      <w:r w:rsidRPr="00B34913">
        <w:rPr>
          <w:color w:val="000000"/>
        </w:rPr>
        <w:t>Koncentreret svovlsyres reaktion med vand er</w:t>
      </w:r>
      <w:r>
        <w:rPr>
          <w:color w:val="000000"/>
        </w:rPr>
        <w:t xml:space="preserve"> meget exoterm. D</w:t>
      </w:r>
      <w:r w:rsidRPr="00B34913">
        <w:rPr>
          <w:color w:val="000000"/>
        </w:rPr>
        <w:t>er</w:t>
      </w:r>
      <w:r>
        <w:rPr>
          <w:color w:val="000000"/>
        </w:rPr>
        <w:t xml:space="preserve"> er altså ikke variabelkontrol.</w:t>
      </w:r>
      <w:r w:rsidR="007209F7">
        <w:rPr>
          <w:color w:val="000000"/>
        </w:rPr>
        <w:t xml:space="preserve"> Hvilken betydni</w:t>
      </w:r>
      <w:r w:rsidR="00FC2612">
        <w:rPr>
          <w:color w:val="000000"/>
        </w:rPr>
        <w:t>ng har det?</w:t>
      </w:r>
      <w:r w:rsidR="007209F7">
        <w:rPr>
          <w:color w:val="000000"/>
        </w:rPr>
        <w:t xml:space="preserve"> </w:t>
      </w:r>
      <w:r>
        <w:rPr>
          <w:color w:val="000000"/>
        </w:rPr>
        <w:t>H</w:t>
      </w:r>
      <w:r w:rsidRPr="00B34913">
        <w:rPr>
          <w:color w:val="000000"/>
        </w:rPr>
        <w:t>vordan kan det imødegås?</w:t>
      </w:r>
    </w:p>
    <w:p w14:paraId="486CAE12" w14:textId="77777777" w:rsidR="001B6836" w:rsidRDefault="001B6836" w:rsidP="001B6836">
      <w:pPr>
        <w:tabs>
          <w:tab w:val="left" w:pos="142"/>
          <w:tab w:val="left" w:pos="426"/>
        </w:tabs>
        <w:ind w:left="720"/>
        <w:rPr>
          <w:color w:val="000000"/>
        </w:rPr>
      </w:pPr>
    </w:p>
    <w:p w14:paraId="0C5EB68B" w14:textId="77777777" w:rsidR="000E2B43" w:rsidRPr="002B542B" w:rsidRDefault="000E2B43" w:rsidP="002B542B">
      <w:pPr>
        <w:pStyle w:val="Listeafsnit"/>
        <w:numPr>
          <w:ilvl w:val="0"/>
          <w:numId w:val="13"/>
        </w:numPr>
        <w:tabs>
          <w:tab w:val="left" w:pos="142"/>
          <w:tab w:val="left" w:pos="426"/>
        </w:tabs>
        <w:rPr>
          <w:color w:val="000000"/>
        </w:rPr>
      </w:pPr>
      <w:r w:rsidRPr="002B542B">
        <w:rPr>
          <w:color w:val="000000"/>
        </w:rPr>
        <w:t>Gør det en forskel, om de</w:t>
      </w:r>
      <w:r w:rsidR="007209F7" w:rsidRPr="002B542B">
        <w:rPr>
          <w:color w:val="000000"/>
        </w:rPr>
        <w:t>r anvendes absolut alkohol (99,</w:t>
      </w:r>
      <w:r w:rsidRPr="002B542B">
        <w:rPr>
          <w:color w:val="000000"/>
        </w:rPr>
        <w:t>9 %</w:t>
      </w:r>
      <w:r w:rsidR="007209F7" w:rsidRPr="002B542B">
        <w:rPr>
          <w:color w:val="000000"/>
        </w:rPr>
        <w:t xml:space="preserve"> </w:t>
      </w:r>
      <w:proofErr w:type="spellStart"/>
      <w:r w:rsidR="007209F7" w:rsidRPr="002B542B">
        <w:rPr>
          <w:color w:val="000000"/>
        </w:rPr>
        <w:t>ethanol</w:t>
      </w:r>
      <w:proofErr w:type="spellEnd"/>
      <w:r w:rsidR="007209F7" w:rsidRPr="002B542B">
        <w:rPr>
          <w:color w:val="000000"/>
        </w:rPr>
        <w:t xml:space="preserve">) eller 96 % </w:t>
      </w:r>
      <w:proofErr w:type="spellStart"/>
      <w:r w:rsidR="007209F7" w:rsidRPr="002B542B">
        <w:rPr>
          <w:color w:val="000000"/>
        </w:rPr>
        <w:t>ethanol</w:t>
      </w:r>
      <w:proofErr w:type="spellEnd"/>
      <w:r w:rsidR="009B3AA3">
        <w:rPr>
          <w:color w:val="000000"/>
        </w:rPr>
        <w:t xml:space="preserve"> (almindelig ”husholdningssprit”)</w:t>
      </w:r>
      <w:r w:rsidRPr="002B542B">
        <w:rPr>
          <w:color w:val="000000"/>
        </w:rPr>
        <w:t>?</w:t>
      </w:r>
    </w:p>
    <w:p w14:paraId="288DA958" w14:textId="77777777" w:rsidR="000E2B43" w:rsidRPr="00B34913" w:rsidRDefault="000E2B43" w:rsidP="000E2B43">
      <w:pPr>
        <w:tabs>
          <w:tab w:val="left" w:pos="142"/>
          <w:tab w:val="left" w:pos="426"/>
        </w:tabs>
        <w:ind w:left="720"/>
        <w:rPr>
          <w:color w:val="000000"/>
        </w:rPr>
      </w:pPr>
    </w:p>
    <w:p w14:paraId="5DA66D4F" w14:textId="77777777" w:rsidR="000E2B43" w:rsidRPr="00B34913" w:rsidRDefault="000E2B43" w:rsidP="000E2B43">
      <w:pPr>
        <w:tabs>
          <w:tab w:val="left" w:pos="142"/>
          <w:tab w:val="left" w:pos="426"/>
        </w:tabs>
        <w:ind w:left="360"/>
        <w:rPr>
          <w:color w:val="000000"/>
        </w:rPr>
      </w:pPr>
    </w:p>
    <w:p w14:paraId="54BC4F75" w14:textId="77777777" w:rsidR="000E2B43" w:rsidRPr="00992974" w:rsidRDefault="000E2B43" w:rsidP="000E2B43">
      <w:pPr>
        <w:tabs>
          <w:tab w:val="left" w:pos="142"/>
          <w:tab w:val="left" w:pos="426"/>
        </w:tabs>
        <w:ind w:left="720"/>
        <w:rPr>
          <w:color w:val="FF0000"/>
        </w:rPr>
      </w:pPr>
      <w:r>
        <w:br/>
      </w:r>
    </w:p>
    <w:p w14:paraId="57411A96" w14:textId="77777777" w:rsidR="000E2B43" w:rsidRDefault="000E2B43" w:rsidP="008B3CFF">
      <w:pPr>
        <w:tabs>
          <w:tab w:val="left" w:pos="426"/>
          <w:tab w:val="left" w:pos="720"/>
        </w:tabs>
      </w:pPr>
    </w:p>
    <w:p w14:paraId="77A5D996" w14:textId="77777777" w:rsidR="00D72AAC" w:rsidRPr="0025110E" w:rsidRDefault="00D72AAC" w:rsidP="00815F0E"/>
    <w:sectPr w:rsidR="00D72AAC" w:rsidRPr="0025110E" w:rsidSect="005674BF">
      <w:footerReference w:type="default" r:id="rId10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A6BB" w14:textId="77777777" w:rsidR="00477DF4" w:rsidRDefault="00477DF4">
      <w:r>
        <w:separator/>
      </w:r>
    </w:p>
  </w:endnote>
  <w:endnote w:type="continuationSeparator" w:id="0">
    <w:p w14:paraId="64E0D142" w14:textId="77777777" w:rsidR="00477DF4" w:rsidRDefault="0047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AA9F" w14:textId="77777777" w:rsidR="00181126" w:rsidRPr="0088343D" w:rsidRDefault="000E2B43" w:rsidP="003A7627">
    <w:pPr>
      <w:pStyle w:val="Sidefod"/>
      <w:tabs>
        <w:tab w:val="left" w:pos="5220"/>
      </w:tabs>
      <w:rPr>
        <w:sz w:val="20"/>
        <w:szCs w:val="20"/>
      </w:rPr>
    </w:pPr>
    <w:r>
      <w:rPr>
        <w:sz w:val="20"/>
        <w:szCs w:val="20"/>
      </w:rPr>
      <w:t>Indgreb i kemisk ligevægt</w:t>
    </w:r>
    <w:r w:rsidR="00181126" w:rsidRPr="0088343D">
      <w:rPr>
        <w:sz w:val="20"/>
        <w:szCs w:val="20"/>
      </w:rPr>
      <w:tab/>
    </w:r>
    <w:r w:rsidR="00FC2612">
      <w:rPr>
        <w:sz w:val="20"/>
        <w:szCs w:val="20"/>
      </w:rPr>
      <w:t>PD</w:t>
    </w:r>
    <w:r w:rsidR="00181126" w:rsidRPr="0088343D">
      <w:rPr>
        <w:sz w:val="20"/>
        <w:szCs w:val="20"/>
      </w:rPr>
      <w:t xml:space="preserve"> </w:t>
    </w:r>
    <w:r w:rsidR="003A7627">
      <w:rPr>
        <w:sz w:val="20"/>
        <w:szCs w:val="20"/>
      </w:rPr>
      <w:tab/>
    </w:r>
    <w:r w:rsidR="003A7627">
      <w:rPr>
        <w:sz w:val="20"/>
        <w:szCs w:val="20"/>
      </w:rPr>
      <w:tab/>
    </w:r>
    <w:r w:rsidR="003A7627" w:rsidRPr="003A7627">
      <w:rPr>
        <w:sz w:val="20"/>
        <w:szCs w:val="20"/>
      </w:rPr>
      <w:t xml:space="preserve">Side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PAGE </w:instrText>
    </w:r>
    <w:r w:rsidR="00E11522" w:rsidRPr="003A7627">
      <w:rPr>
        <w:sz w:val="20"/>
        <w:szCs w:val="20"/>
      </w:rPr>
      <w:fldChar w:fldCharType="separate"/>
    </w:r>
    <w:r w:rsidR="00291D05">
      <w:rPr>
        <w:noProof/>
        <w:sz w:val="20"/>
        <w:szCs w:val="20"/>
      </w:rPr>
      <w:t>1</w:t>
    </w:r>
    <w:r w:rsidR="00E11522" w:rsidRPr="003A7627">
      <w:rPr>
        <w:sz w:val="20"/>
        <w:szCs w:val="20"/>
      </w:rPr>
      <w:fldChar w:fldCharType="end"/>
    </w:r>
    <w:r w:rsidR="003A7627" w:rsidRPr="003A7627">
      <w:rPr>
        <w:sz w:val="20"/>
        <w:szCs w:val="20"/>
      </w:rPr>
      <w:t xml:space="preserve"> af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NUMPAGES </w:instrText>
    </w:r>
    <w:r w:rsidR="00E11522" w:rsidRPr="003A7627">
      <w:rPr>
        <w:sz w:val="20"/>
        <w:szCs w:val="20"/>
      </w:rPr>
      <w:fldChar w:fldCharType="separate"/>
    </w:r>
    <w:r w:rsidR="00291D05">
      <w:rPr>
        <w:noProof/>
        <w:sz w:val="20"/>
        <w:szCs w:val="20"/>
      </w:rPr>
      <w:t>2</w:t>
    </w:r>
    <w:r w:rsidR="00E11522" w:rsidRPr="003A762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E73D" w14:textId="77777777" w:rsidR="00477DF4" w:rsidRDefault="00477DF4">
      <w:r>
        <w:separator/>
      </w:r>
    </w:p>
  </w:footnote>
  <w:footnote w:type="continuationSeparator" w:id="0">
    <w:p w14:paraId="74368477" w14:textId="77777777" w:rsidR="00477DF4" w:rsidRDefault="0047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BAB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5CA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284"/>
    <w:multiLevelType w:val="hybridMultilevel"/>
    <w:tmpl w:val="2AD0FA8A"/>
    <w:lvl w:ilvl="0" w:tplc="040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6E09"/>
    <w:multiLevelType w:val="hybridMultilevel"/>
    <w:tmpl w:val="EB96A01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036E"/>
    <w:multiLevelType w:val="hybridMultilevel"/>
    <w:tmpl w:val="21BEF236"/>
    <w:lvl w:ilvl="0" w:tplc="A9DE2A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667C"/>
    <w:multiLevelType w:val="hybridMultilevel"/>
    <w:tmpl w:val="4AC2765A"/>
    <w:lvl w:ilvl="0" w:tplc="306C00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6195"/>
    <w:multiLevelType w:val="hybridMultilevel"/>
    <w:tmpl w:val="0960E4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181D"/>
    <w:multiLevelType w:val="hybridMultilevel"/>
    <w:tmpl w:val="313087C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632C3"/>
    <w:multiLevelType w:val="hybridMultilevel"/>
    <w:tmpl w:val="57A2337E"/>
    <w:lvl w:ilvl="0" w:tplc="0406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E7D00"/>
    <w:multiLevelType w:val="hybridMultilevel"/>
    <w:tmpl w:val="8EF02A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34D2C"/>
    <w:multiLevelType w:val="hybridMultilevel"/>
    <w:tmpl w:val="9E9EA5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F6371"/>
    <w:multiLevelType w:val="hybridMultilevel"/>
    <w:tmpl w:val="865E43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E5C80"/>
    <w:multiLevelType w:val="hybridMultilevel"/>
    <w:tmpl w:val="E3C6BD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2868">
    <w:abstractNumId w:val="3"/>
  </w:num>
  <w:num w:numId="2" w16cid:durableId="1112047611">
    <w:abstractNumId w:val="11"/>
  </w:num>
  <w:num w:numId="3" w16cid:durableId="1828668753">
    <w:abstractNumId w:val="7"/>
  </w:num>
  <w:num w:numId="4" w16cid:durableId="1449814593">
    <w:abstractNumId w:val="6"/>
  </w:num>
  <w:num w:numId="5" w16cid:durableId="317538966">
    <w:abstractNumId w:val="12"/>
  </w:num>
  <w:num w:numId="6" w16cid:durableId="1483616053">
    <w:abstractNumId w:val="1"/>
  </w:num>
  <w:num w:numId="7" w16cid:durableId="18942667">
    <w:abstractNumId w:val="9"/>
  </w:num>
  <w:num w:numId="8" w16cid:durableId="1105003318">
    <w:abstractNumId w:val="0"/>
  </w:num>
  <w:num w:numId="9" w16cid:durableId="176040682">
    <w:abstractNumId w:val="4"/>
  </w:num>
  <w:num w:numId="10" w16cid:durableId="950671285">
    <w:abstractNumId w:val="5"/>
  </w:num>
  <w:num w:numId="11" w16cid:durableId="702289891">
    <w:abstractNumId w:val="10"/>
  </w:num>
  <w:num w:numId="12" w16cid:durableId="1927106518">
    <w:abstractNumId w:val="2"/>
  </w:num>
  <w:num w:numId="13" w16cid:durableId="1496451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78"/>
    <w:rsid w:val="000104FA"/>
    <w:rsid w:val="00016218"/>
    <w:rsid w:val="00017D72"/>
    <w:rsid w:val="00023E32"/>
    <w:rsid w:val="0003660D"/>
    <w:rsid w:val="0006091E"/>
    <w:rsid w:val="000616D3"/>
    <w:rsid w:val="00080DBB"/>
    <w:rsid w:val="000C1579"/>
    <w:rsid w:val="000D0D06"/>
    <w:rsid w:val="000E2B43"/>
    <w:rsid w:val="000F2992"/>
    <w:rsid w:val="00102022"/>
    <w:rsid w:val="00143DDF"/>
    <w:rsid w:val="00151C22"/>
    <w:rsid w:val="0017500F"/>
    <w:rsid w:val="0017563B"/>
    <w:rsid w:val="00181126"/>
    <w:rsid w:val="00190C89"/>
    <w:rsid w:val="00196A6D"/>
    <w:rsid w:val="001B12AC"/>
    <w:rsid w:val="001B4417"/>
    <w:rsid w:val="001B6836"/>
    <w:rsid w:val="001C749C"/>
    <w:rsid w:val="001D0B1A"/>
    <w:rsid w:val="001F1F0A"/>
    <w:rsid w:val="00204760"/>
    <w:rsid w:val="00222E76"/>
    <w:rsid w:val="00225831"/>
    <w:rsid w:val="00234ABE"/>
    <w:rsid w:val="00234CF1"/>
    <w:rsid w:val="00237390"/>
    <w:rsid w:val="0025110E"/>
    <w:rsid w:val="00251E23"/>
    <w:rsid w:val="00276443"/>
    <w:rsid w:val="00285204"/>
    <w:rsid w:val="00291D05"/>
    <w:rsid w:val="00293ECA"/>
    <w:rsid w:val="00294706"/>
    <w:rsid w:val="002B4AF1"/>
    <w:rsid w:val="002B542B"/>
    <w:rsid w:val="002C687A"/>
    <w:rsid w:val="00300D7E"/>
    <w:rsid w:val="003024F2"/>
    <w:rsid w:val="00345330"/>
    <w:rsid w:val="0036246A"/>
    <w:rsid w:val="0036443E"/>
    <w:rsid w:val="00377869"/>
    <w:rsid w:val="003A7627"/>
    <w:rsid w:val="003E53D7"/>
    <w:rsid w:val="00420C72"/>
    <w:rsid w:val="00427FEF"/>
    <w:rsid w:val="004372D4"/>
    <w:rsid w:val="00445D17"/>
    <w:rsid w:val="00445FF1"/>
    <w:rsid w:val="00466207"/>
    <w:rsid w:val="0047701C"/>
    <w:rsid w:val="00477DF4"/>
    <w:rsid w:val="0048231C"/>
    <w:rsid w:val="00487A2D"/>
    <w:rsid w:val="00491618"/>
    <w:rsid w:val="004B21E3"/>
    <w:rsid w:val="004C7BB1"/>
    <w:rsid w:val="004D50FD"/>
    <w:rsid w:val="004E79D7"/>
    <w:rsid w:val="00512554"/>
    <w:rsid w:val="005674BF"/>
    <w:rsid w:val="00573104"/>
    <w:rsid w:val="005D12F0"/>
    <w:rsid w:val="005E0EC7"/>
    <w:rsid w:val="00600DC2"/>
    <w:rsid w:val="0060344F"/>
    <w:rsid w:val="00606074"/>
    <w:rsid w:val="00626B09"/>
    <w:rsid w:val="006424F9"/>
    <w:rsid w:val="00651F06"/>
    <w:rsid w:val="006557DB"/>
    <w:rsid w:val="00692778"/>
    <w:rsid w:val="00694F5D"/>
    <w:rsid w:val="006B21AA"/>
    <w:rsid w:val="006B2AE0"/>
    <w:rsid w:val="006B2CF4"/>
    <w:rsid w:val="006B6D86"/>
    <w:rsid w:val="006D16CE"/>
    <w:rsid w:val="0071246F"/>
    <w:rsid w:val="007209F7"/>
    <w:rsid w:val="00766470"/>
    <w:rsid w:val="00771521"/>
    <w:rsid w:val="007731DF"/>
    <w:rsid w:val="00783706"/>
    <w:rsid w:val="00783E9D"/>
    <w:rsid w:val="00787439"/>
    <w:rsid w:val="00794F4E"/>
    <w:rsid w:val="00815F0E"/>
    <w:rsid w:val="008265D1"/>
    <w:rsid w:val="008313FE"/>
    <w:rsid w:val="00832A57"/>
    <w:rsid w:val="008375FF"/>
    <w:rsid w:val="00842E74"/>
    <w:rsid w:val="00860C0A"/>
    <w:rsid w:val="00870720"/>
    <w:rsid w:val="00872A45"/>
    <w:rsid w:val="00877396"/>
    <w:rsid w:val="0088343D"/>
    <w:rsid w:val="0089576A"/>
    <w:rsid w:val="008B12AF"/>
    <w:rsid w:val="008B2590"/>
    <w:rsid w:val="008B3CFF"/>
    <w:rsid w:val="008D0012"/>
    <w:rsid w:val="008F2BCA"/>
    <w:rsid w:val="00930CA5"/>
    <w:rsid w:val="00933CDC"/>
    <w:rsid w:val="009550DD"/>
    <w:rsid w:val="00955522"/>
    <w:rsid w:val="00956BB6"/>
    <w:rsid w:val="00961AEF"/>
    <w:rsid w:val="00977B75"/>
    <w:rsid w:val="00981703"/>
    <w:rsid w:val="009B3AA3"/>
    <w:rsid w:val="009C48F2"/>
    <w:rsid w:val="00A025B2"/>
    <w:rsid w:val="00A2160A"/>
    <w:rsid w:val="00A30476"/>
    <w:rsid w:val="00A31B5C"/>
    <w:rsid w:val="00A45C6E"/>
    <w:rsid w:val="00A50F0A"/>
    <w:rsid w:val="00A63F9D"/>
    <w:rsid w:val="00AA1BE0"/>
    <w:rsid w:val="00AF1081"/>
    <w:rsid w:val="00B06240"/>
    <w:rsid w:val="00B06C69"/>
    <w:rsid w:val="00B120D7"/>
    <w:rsid w:val="00B242F0"/>
    <w:rsid w:val="00B42C6D"/>
    <w:rsid w:val="00B6073B"/>
    <w:rsid w:val="00B61E1A"/>
    <w:rsid w:val="00B77BF5"/>
    <w:rsid w:val="00BA6870"/>
    <w:rsid w:val="00BB12DD"/>
    <w:rsid w:val="00BC7D77"/>
    <w:rsid w:val="00BD5095"/>
    <w:rsid w:val="00BF3E02"/>
    <w:rsid w:val="00C210D4"/>
    <w:rsid w:val="00C46A6A"/>
    <w:rsid w:val="00C50832"/>
    <w:rsid w:val="00C56173"/>
    <w:rsid w:val="00C873CF"/>
    <w:rsid w:val="00CB3567"/>
    <w:rsid w:val="00CD1E0B"/>
    <w:rsid w:val="00CD6EAA"/>
    <w:rsid w:val="00CE7125"/>
    <w:rsid w:val="00D179EC"/>
    <w:rsid w:val="00D21877"/>
    <w:rsid w:val="00D277EC"/>
    <w:rsid w:val="00D32130"/>
    <w:rsid w:val="00D40B2E"/>
    <w:rsid w:val="00D63012"/>
    <w:rsid w:val="00D72AAC"/>
    <w:rsid w:val="00D775FF"/>
    <w:rsid w:val="00DC43C0"/>
    <w:rsid w:val="00DF4F36"/>
    <w:rsid w:val="00DF54AD"/>
    <w:rsid w:val="00E00796"/>
    <w:rsid w:val="00E03013"/>
    <w:rsid w:val="00E11522"/>
    <w:rsid w:val="00E13DCE"/>
    <w:rsid w:val="00E17E72"/>
    <w:rsid w:val="00E4091C"/>
    <w:rsid w:val="00E47822"/>
    <w:rsid w:val="00E54969"/>
    <w:rsid w:val="00E557BD"/>
    <w:rsid w:val="00E700E9"/>
    <w:rsid w:val="00E8688F"/>
    <w:rsid w:val="00E91C7D"/>
    <w:rsid w:val="00EA0669"/>
    <w:rsid w:val="00EE60E1"/>
    <w:rsid w:val="00F05AA5"/>
    <w:rsid w:val="00F21CE1"/>
    <w:rsid w:val="00F570AC"/>
    <w:rsid w:val="00F65B03"/>
    <w:rsid w:val="00FA225C"/>
    <w:rsid w:val="00FB2A6D"/>
    <w:rsid w:val="00FC2612"/>
    <w:rsid w:val="00FE43A6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  <w14:docId w14:val="370F2BB9"/>
  <w15:docId w15:val="{DFC0188D-80B0-44F9-9202-89ED82A8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2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1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1152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11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11522"/>
    <w:pPr>
      <w:keepNext/>
      <w:outlineLvl w:val="3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11522"/>
    <w:pPr>
      <w:jc w:val="center"/>
    </w:pPr>
    <w:rPr>
      <w:sz w:val="28"/>
      <w:szCs w:val="20"/>
    </w:rPr>
  </w:style>
  <w:style w:type="paragraph" w:styleId="Fodnotetekst">
    <w:name w:val="footnote text"/>
    <w:basedOn w:val="Normal"/>
    <w:semiHidden/>
    <w:rsid w:val="00E11522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E11522"/>
    <w:rPr>
      <w:vertAlign w:val="superscript"/>
    </w:rPr>
  </w:style>
  <w:style w:type="paragraph" w:styleId="Sidehoved">
    <w:name w:val="header"/>
    <w:basedOn w:val="Normal"/>
    <w:rsid w:val="00E115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1152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E11522"/>
    <w:rPr>
      <w:rFonts w:ascii="Tahoma" w:hAnsi="Tahoma" w:cs="Tahoma"/>
      <w:sz w:val="16"/>
      <w:szCs w:val="16"/>
    </w:rPr>
  </w:style>
  <w:style w:type="paragraph" w:customStyle="1" w:styleId="Typografi1">
    <w:name w:val="Typografi1"/>
    <w:basedOn w:val="Overskrift2"/>
    <w:autoRedefine/>
    <w:rsid w:val="0088343D"/>
    <w:pPr>
      <w:pBdr>
        <w:bottom w:val="single" w:sz="4" w:space="1" w:color="auto"/>
      </w:pBdr>
      <w:tabs>
        <w:tab w:val="right" w:pos="9360"/>
      </w:tabs>
    </w:pPr>
  </w:style>
  <w:style w:type="table" w:styleId="Tabel-Gitter">
    <w:name w:val="Table Grid"/>
    <w:basedOn w:val="Tabel-Normal"/>
    <w:rsid w:val="0097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EA0669"/>
    <w:rPr>
      <w:rFonts w:ascii="Arial" w:hAnsi="Arial" w:cs="Arial"/>
      <w:b/>
      <w:bCs/>
      <w:iCs/>
      <w:sz w:val="28"/>
      <w:szCs w:val="28"/>
      <w:lang w:val="da-DK" w:eastAsia="da-DK" w:bidi="ar-SA"/>
    </w:rPr>
  </w:style>
  <w:style w:type="character" w:styleId="Hyperlink">
    <w:name w:val="Hyperlink"/>
    <w:basedOn w:val="Standardskrifttypeiafsnit"/>
    <w:uiPriority w:val="99"/>
    <w:unhideWhenUsed/>
    <w:rsid w:val="00016218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B2CF4"/>
    <w:rPr>
      <w:color w:val="808080"/>
    </w:rPr>
  </w:style>
  <w:style w:type="paragraph" w:styleId="Listeafsnit">
    <w:name w:val="List Paragraph"/>
    <w:basedOn w:val="Normal"/>
    <w:uiPriority w:val="34"/>
    <w:qFormat/>
    <w:rsid w:val="0062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imgres?imgurl=http://stebergd211.weebly.com/uploads/1/3/3/1/13316734/8441245_orig.jpg&amp;imgrefurl=http://stebergd211.weebly.com/equilibrium.html&amp;h=203&amp;w=249&amp;tbnid=EcuHzycg6ctZ7M:&amp;docid=rtw-B2B3tNBFfM&amp;hl=da&amp;ei=dtQVVrqBMoL7ygOyy6_ADQ&amp;tbm=isch&amp;ved=0CEQQMygcMBxqFQoTCLqUyMnpscgCFYK9cgodsuUL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1127E9-77FB-44EC-99D3-1E228CD2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Spektrofotometrisk bestemmelse af nitrat</vt:lpstr>
    </vt:vector>
  </TitlesOfParts>
  <Company>Randers HF&amp;VUC</Company>
  <LinksUpToDate>false</LinksUpToDate>
  <CharactersWithSpaces>2735</CharactersWithSpaces>
  <SharedDoc>false</SharedDoc>
  <HLinks>
    <vt:vector size="6" baseType="variant"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http://www.cabrillo.edu/~dbrown/tracker/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Spektrofotometrisk bestemmelse af nitrat</dc:title>
  <dc:creator>hf</dc:creator>
  <cp:lastModifiedBy>Poul Falk Dyg</cp:lastModifiedBy>
  <cp:revision>2</cp:revision>
  <cp:lastPrinted>2015-11-02T21:04:00Z</cp:lastPrinted>
  <dcterms:created xsi:type="dcterms:W3CDTF">2023-12-13T22:00:00Z</dcterms:created>
  <dcterms:modified xsi:type="dcterms:W3CDTF">2023-12-13T22:00:00Z</dcterms:modified>
</cp:coreProperties>
</file>