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7B0F" w14:textId="719D74B0" w:rsidR="00271F13" w:rsidRDefault="00271F13">
      <w:pPr>
        <w:rPr>
          <w:rFonts w:ascii="Arial" w:hAnsi="Arial" w:cs="Arial"/>
          <w:color w:val="171717"/>
          <w:spacing w:val="-3"/>
          <w:shd w:val="clear" w:color="auto" w:fill="FFFFFF"/>
        </w:rPr>
      </w:pPr>
      <w:r>
        <w:rPr>
          <w:noProof/>
        </w:rPr>
        <w:drawing>
          <wp:inline distT="0" distB="0" distL="0" distR="0" wp14:anchorId="40927D8C" wp14:editId="4F9957AB">
            <wp:extent cx="6120130" cy="2692400"/>
            <wp:effectExtent l="0" t="0" r="1270" b="0"/>
            <wp:docPr id="1114857635" name="Billede 1" descr="Et billede, der indeholder tekst, kvittering, Font/skrifttype, algebra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57635" name="Billede 1" descr="Et billede, der indeholder tekst, kvittering, Font/skrifttype, algebra&#10;&#10;AI-genereret indhold kan være ukorrek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9BE1" w14:textId="77777777" w:rsidR="00271F13" w:rsidRDefault="00271F13">
      <w:pPr>
        <w:rPr>
          <w:rFonts w:ascii="Arial" w:hAnsi="Arial" w:cs="Arial"/>
          <w:color w:val="171717"/>
          <w:spacing w:val="-3"/>
          <w:shd w:val="clear" w:color="auto" w:fill="FFFFFF"/>
        </w:rPr>
      </w:pPr>
    </w:p>
    <w:p w14:paraId="24FAA9EB" w14:textId="5257EF9F" w:rsidR="00E65565" w:rsidRDefault="00ED0C42">
      <w:pPr>
        <w:rPr>
          <w:rFonts w:ascii="Arial" w:hAnsi="Arial" w:cs="Arial"/>
          <w:color w:val="171717"/>
          <w:spacing w:val="-3"/>
          <w:shd w:val="clear" w:color="auto" w:fill="FFFFFF"/>
        </w:rPr>
      </w:pPr>
      <w:r>
        <w:rPr>
          <w:rFonts w:ascii="Arial" w:hAnsi="Arial" w:cs="Arial"/>
          <w:color w:val="171717"/>
          <w:spacing w:val="-3"/>
          <w:shd w:val="clear" w:color="auto" w:fill="FFFFFF"/>
        </w:rPr>
        <w:t>…</w:t>
      </w:r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Til at resignere hører der ikke Tro, thi det, jeg i Resignation vinder, er min evige Bevidsthed, og dette er en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reen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philosophisk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Bevægelse, som jeg trøster mig til at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gjøre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,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naar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forlanges, og som jeg kan tugte mig selv til at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gjøre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, thi hver Gang nogen Endelighed vil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voxe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mig overhovedet, da hungrer jeg mig selv ud, indtil jeg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gjør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Bevægelsen; thi min evige Bevidsthed er min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Kjærlighed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til Gud, og den er mig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høiere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end Alt. Til at resignere hører der ikke Tro, men til at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faae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det allermindste mere end min evige Bevidsthed hører der Tro, thi dette er det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Paradoxe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. Man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forvexler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ofte Bevægelserne. Man siger, at man behøver Troen for at give Afkald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paa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Alt, ja man hører det endnu Besynderligere, at et Menneske klager over, at han har tabt Troen, og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naar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man seer efter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paa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Scalaen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, for at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see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, hvor han er, seer man besynderlig nok, at han kun er kommen til det Punkt, at han skal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gjøre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Resignationens uendelige Bevægelse. Ved Resignationen giver jeg Afkald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paa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Alt, denne Bevægelse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gjør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jeg ved mig selv, og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naar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jeg ikke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gjør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det, da er det fordi jeg er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feig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og blødagtig og uden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Begeistring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og ikke føler Betydningen af den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høie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Værdighed, ethvert Menneske er </w:t>
      </w:r>
      <w:proofErr w:type="spellStart"/>
      <w:proofErr w:type="gram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anviist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,</w:t>
      </w:r>
      <w:proofErr w:type="gram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at være sin egen </w:t>
      </w:r>
      <w:hyperlink r:id="rId5" w:anchor="fb-201" w:tooltip="Kommentar" w:history="1">
        <w:r w:rsidR="005B2206">
          <w:rPr>
            <w:rStyle w:val="Hyperlink"/>
            <w:rFonts w:ascii="Arial" w:hAnsi="Arial" w:cs="Arial"/>
            <w:spacing w:val="-3"/>
            <w:shd w:val="clear" w:color="auto" w:fill="FFFFFF"/>
          </w:rPr>
          <w:t>Censor</w:t>
        </w:r>
      </w:hyperlink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, hvilket er meget fornemmere end at være General-Censor for hele den romerske Republik. Denne Bevægelse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gjør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jeg ved mig selv, og det, jeg derfor vinder, er mig selv i min evige Bevidsthed, i salig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Forstaaelse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 </w:t>
      </w:r>
      <w:hyperlink r:id="rId6" w:anchor="ss143" w:tooltip="Side: 143(SKS)" w:history="1">
        <w:r w:rsidR="005B2206">
          <w:rPr>
            <w:rStyle w:val="Hyperlink"/>
            <w:rFonts w:ascii="Arial" w:hAnsi="Arial" w:cs="Arial"/>
            <w:spacing w:val="-3"/>
            <w:sz w:val="21"/>
            <w:szCs w:val="21"/>
          </w:rPr>
          <w:t>143</w:t>
        </w:r>
      </w:hyperlink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med min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Kjærlighed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til det evige Væsen. Ved Troen giver jeg ikke Afkald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paa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Noget,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tvertimod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ved Troen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faaer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jeg Alt, netop i den Forstand, i hvilken det hedder, at den, som har </w:t>
      </w:r>
      <w:hyperlink r:id="rId7" w:anchor="fb-202" w:tooltip="Kommentar" w:history="1">
        <w:r w:rsidR="005B2206">
          <w:rPr>
            <w:rStyle w:val="Hyperlink"/>
            <w:rFonts w:ascii="Arial" w:hAnsi="Arial" w:cs="Arial"/>
            <w:spacing w:val="-3"/>
            <w:shd w:val="clear" w:color="auto" w:fill="FFFFFF"/>
          </w:rPr>
          <w:t>Tro som et Sennepskorn</w:t>
        </w:r>
      </w:hyperlink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, kan flytte Bjerge. Der hører et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reent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menneskeligt Mod til at give Afkald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paa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hele Timeligheden, for at vinde Evigheden, men denne vinder jeg, og kan i al Evighed ikke give Afkald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paa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, det er en Selvmodsigelse; men der hører et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paradox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og ydmygt Mod til nu at gribe hele Timeligheden i Kraft af det Absurde, og dette Mod er Troens. Ved Troen gav </w:t>
      </w:r>
      <w:r w:rsidR="005B2206">
        <w:rPr>
          <w:rStyle w:val="person"/>
          <w:rFonts w:ascii="Arial" w:hAnsi="Arial" w:cs="Arial"/>
          <w:color w:val="171717"/>
          <w:spacing w:val="-3"/>
          <w:shd w:val="clear" w:color="auto" w:fill="FFFFFF"/>
        </w:rPr>
        <w:t>Abraham</w:t>
      </w:r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 ikke Afkald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paa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 </w:t>
      </w:r>
      <w:r w:rsidR="005B2206">
        <w:rPr>
          <w:rStyle w:val="person"/>
          <w:rFonts w:ascii="Arial" w:hAnsi="Arial" w:cs="Arial"/>
          <w:color w:val="171717"/>
          <w:spacing w:val="-3"/>
          <w:shd w:val="clear" w:color="auto" w:fill="FFFFFF"/>
        </w:rPr>
        <w:t>Isaak</w:t>
      </w:r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, men ved Troen fik </w:t>
      </w:r>
      <w:r w:rsidR="005B2206">
        <w:rPr>
          <w:rStyle w:val="person"/>
          <w:rFonts w:ascii="Arial" w:hAnsi="Arial" w:cs="Arial"/>
          <w:color w:val="171717"/>
          <w:spacing w:val="-3"/>
          <w:shd w:val="clear" w:color="auto" w:fill="FFFFFF"/>
        </w:rPr>
        <w:t>Abraham</w:t>
      </w:r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 </w:t>
      </w:r>
      <w:r w:rsidR="005B2206">
        <w:rPr>
          <w:rStyle w:val="person"/>
          <w:rFonts w:ascii="Arial" w:hAnsi="Arial" w:cs="Arial"/>
          <w:color w:val="171717"/>
          <w:spacing w:val="-3"/>
          <w:shd w:val="clear" w:color="auto" w:fill="FFFFFF"/>
        </w:rPr>
        <w:t>Isaak</w:t>
      </w:r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. I Kraft af Resignationen skulde </w:t>
      </w:r>
      <w:proofErr w:type="spellStart"/>
      <w:r w:rsidR="005B2206">
        <w:fldChar w:fldCharType="begin"/>
      </w:r>
      <w:r w:rsidR="005B2206">
        <w:instrText>HYPERLINK "http://tekster.kb.dk/text/sks-fb-kom-root" \l "fb-203" \o "Kommentar"</w:instrText>
      </w:r>
      <w:r w:rsidR="005B2206">
        <w:fldChar w:fldCharType="separate"/>
      </w:r>
      <w:r w:rsidR="005B2206">
        <w:rPr>
          <w:rStyle w:val="Hyperlink"/>
          <w:rFonts w:ascii="Arial" w:hAnsi="Arial" w:cs="Arial"/>
          <w:spacing w:val="-3"/>
          <w:shd w:val="clear" w:color="auto" w:fill="FFFFFF"/>
        </w:rPr>
        <w:t>hiin</w:t>
      </w:r>
      <w:proofErr w:type="spellEnd"/>
      <w:r w:rsidR="005B2206">
        <w:rPr>
          <w:rStyle w:val="Hyperlink"/>
          <w:rFonts w:ascii="Arial" w:hAnsi="Arial" w:cs="Arial"/>
          <w:spacing w:val="-3"/>
          <w:shd w:val="clear" w:color="auto" w:fill="FFFFFF"/>
        </w:rPr>
        <w:t xml:space="preserve"> rige Yngling</w:t>
      </w:r>
      <w:r w:rsidR="005B2206">
        <w:fldChar w:fldCharType="end"/>
      </w:r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 have bortgivet Alt, men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naar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han da havde gjort det, da skulde Troens Ridder have sagt til ham: I Kraft af det Absurde skal Du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faae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hver en </w:t>
      </w:r>
      <w:hyperlink r:id="rId8" w:anchor="fb-204" w:tooltip="Kommentar" w:history="1">
        <w:r w:rsidR="005B2206">
          <w:rPr>
            <w:rStyle w:val="Hyperlink"/>
            <w:rFonts w:ascii="Arial" w:hAnsi="Arial" w:cs="Arial"/>
            <w:spacing w:val="-3"/>
            <w:shd w:val="clear" w:color="auto" w:fill="FFFFFF"/>
          </w:rPr>
          <w:t>Hvid</w:t>
        </w:r>
      </w:hyperlink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 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igjen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, kan Du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troe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det. Og denne Tale skal ingenlunde være den forhen rige Yngling ligegyldig; thi dersom han bortgav sit Gods, fordi han er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kjed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deraf, da var det </w:t>
      </w:r>
      <w:proofErr w:type="spellStart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>daarligt</w:t>
      </w:r>
      <w:proofErr w:type="spellEnd"/>
      <w:r w:rsidR="005B2206">
        <w:rPr>
          <w:rFonts w:ascii="Arial" w:hAnsi="Arial" w:cs="Arial"/>
          <w:color w:val="171717"/>
          <w:spacing w:val="-3"/>
          <w:shd w:val="clear" w:color="auto" w:fill="FFFFFF"/>
        </w:rPr>
        <w:t xml:space="preserve"> bevendt med hans Resignation.</w:t>
      </w:r>
    </w:p>
    <w:p w14:paraId="7768B3F4" w14:textId="77777777" w:rsidR="00271F13" w:rsidRDefault="00271F13">
      <w:pPr>
        <w:rPr>
          <w:rFonts w:ascii="Arial" w:hAnsi="Arial" w:cs="Arial"/>
          <w:color w:val="171717"/>
          <w:spacing w:val="-3"/>
          <w:shd w:val="clear" w:color="auto" w:fill="FFFFFF"/>
        </w:rPr>
      </w:pPr>
    </w:p>
    <w:p w14:paraId="6F468988" w14:textId="1A64D87A" w:rsidR="00271F13" w:rsidRDefault="00271F13">
      <w:pPr>
        <w:rPr>
          <w:rFonts w:ascii="Arial" w:hAnsi="Arial" w:cs="Arial"/>
          <w:color w:val="171717"/>
          <w:spacing w:val="-3"/>
          <w:shd w:val="clear" w:color="auto" w:fill="FFFFFF"/>
        </w:rPr>
      </w:pPr>
      <w:r>
        <w:rPr>
          <w:rFonts w:ascii="Arial" w:hAnsi="Arial" w:cs="Arial"/>
          <w:color w:val="171717"/>
          <w:spacing w:val="-3"/>
          <w:shd w:val="clear" w:color="auto" w:fill="FFFFFF"/>
        </w:rPr>
        <w:t>…</w:t>
      </w:r>
    </w:p>
    <w:p w14:paraId="679145AC" w14:textId="77777777" w:rsidR="00271F13" w:rsidRPr="00271F13" w:rsidRDefault="00271F13" w:rsidP="00271F13">
      <w:pPr>
        <w:shd w:val="clear" w:color="auto" w:fill="FFFFFF"/>
        <w:spacing w:before="480" w:after="240"/>
        <w:outlineLvl w:val="1"/>
        <w:rPr>
          <w:rFonts w:ascii="Arial" w:eastAsia="Times New Roman" w:hAnsi="Arial" w:cs="Arial"/>
          <w:color w:val="171717"/>
          <w:spacing w:val="-3"/>
          <w:kern w:val="0"/>
          <w:sz w:val="36"/>
          <w:szCs w:val="36"/>
          <w:lang w:eastAsia="da-DK"/>
          <w14:ligatures w14:val="none"/>
        </w:rPr>
      </w:pP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sz w:val="43"/>
          <w:szCs w:val="43"/>
          <w:lang w:eastAsia="da-DK"/>
          <w14:ligatures w14:val="none"/>
        </w:rPr>
        <w:lastRenderedPageBreak/>
        <w:t>Problema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sz w:val="43"/>
          <w:szCs w:val="43"/>
          <w:lang w:eastAsia="da-DK"/>
          <w14:ligatures w14:val="none"/>
        </w:rPr>
        <w:t xml:space="preserve"> I</w:t>
      </w:r>
    </w:p>
    <w:p w14:paraId="4B2AD54A" w14:textId="77777777" w:rsidR="00271F13" w:rsidRPr="00271F13" w:rsidRDefault="00271F13" w:rsidP="00271F13">
      <w:pPr>
        <w:shd w:val="clear" w:color="auto" w:fill="FFFFFF"/>
        <w:spacing w:before="480" w:after="240"/>
        <w:jc w:val="center"/>
        <w:outlineLvl w:val="1"/>
        <w:rPr>
          <w:rFonts w:ascii="Arial" w:eastAsia="Times New Roman" w:hAnsi="Arial" w:cs="Arial"/>
          <w:color w:val="171717"/>
          <w:spacing w:val="-3"/>
          <w:kern w:val="0"/>
          <w:sz w:val="36"/>
          <w:szCs w:val="36"/>
          <w:lang w:eastAsia="da-DK"/>
          <w14:ligatures w14:val="none"/>
        </w:rPr>
      </w:pPr>
      <w:r w:rsidRPr="00271F13">
        <w:rPr>
          <w:rFonts w:ascii="Arial" w:eastAsia="Times New Roman" w:hAnsi="Arial" w:cs="Arial"/>
          <w:color w:val="171717"/>
          <w:spacing w:val="-3"/>
          <w:kern w:val="0"/>
          <w:sz w:val="36"/>
          <w:szCs w:val="36"/>
          <w:lang w:eastAsia="da-DK"/>
          <w14:ligatures w14:val="none"/>
        </w:rPr>
        <w:br w:type="textWrapping" w:clear="all"/>
      </w:r>
    </w:p>
    <w:p w14:paraId="454550BF" w14:textId="77777777" w:rsidR="00271F13" w:rsidRPr="00271F13" w:rsidRDefault="00271F13" w:rsidP="00271F13">
      <w:pPr>
        <w:shd w:val="clear" w:color="auto" w:fill="FFFFFF"/>
        <w:spacing w:before="480" w:after="240"/>
        <w:outlineLvl w:val="1"/>
        <w:rPr>
          <w:rFonts w:ascii="Arial" w:eastAsia="Times New Roman" w:hAnsi="Arial" w:cs="Arial"/>
          <w:color w:val="171717"/>
          <w:spacing w:val="-3"/>
          <w:kern w:val="0"/>
          <w:sz w:val="36"/>
          <w:szCs w:val="36"/>
          <w:lang w:eastAsia="da-DK"/>
          <w14:ligatures w14:val="none"/>
        </w:rPr>
      </w:pPr>
      <w:r w:rsidRPr="00271F13">
        <w:rPr>
          <w:rFonts w:ascii="Arial" w:eastAsia="Times New Roman" w:hAnsi="Arial" w:cs="Arial"/>
          <w:color w:val="171717"/>
          <w:spacing w:val="-3"/>
          <w:kern w:val="0"/>
          <w:sz w:val="36"/>
          <w:szCs w:val="36"/>
          <w:lang w:eastAsia="da-DK"/>
          <w14:ligatures w14:val="none"/>
        </w:rPr>
        <w:br/>
      </w:r>
      <w:r w:rsidRPr="00271F13">
        <w:rPr>
          <w:rFonts w:ascii="Arial" w:eastAsia="Times New Roman" w:hAnsi="Arial" w:cs="Arial"/>
          <w:i/>
          <w:iCs/>
          <w:color w:val="171717"/>
          <w:spacing w:val="-3"/>
          <w:kern w:val="0"/>
          <w:sz w:val="36"/>
          <w:szCs w:val="36"/>
          <w:lang w:eastAsia="da-DK"/>
          <w14:ligatures w14:val="none"/>
        </w:rPr>
        <w:t>Gives der en </w:t>
      </w:r>
      <w:hyperlink r:id="rId9" w:anchor="fb-220" w:tooltip="Kommentar" w:history="1">
        <w:r w:rsidRPr="00271F13">
          <w:rPr>
            <w:rFonts w:ascii="Arial" w:eastAsia="Times New Roman" w:hAnsi="Arial" w:cs="Arial"/>
            <w:i/>
            <w:iCs/>
            <w:color w:val="0000FF"/>
            <w:spacing w:val="-3"/>
            <w:kern w:val="0"/>
            <w:sz w:val="36"/>
            <w:szCs w:val="36"/>
            <w:u w:val="single"/>
            <w:lang w:eastAsia="da-DK"/>
            <w14:ligatures w14:val="none"/>
          </w:rPr>
          <w:t>teleologisk Suspension</w:t>
        </w:r>
      </w:hyperlink>
      <w:r w:rsidRPr="00271F13">
        <w:rPr>
          <w:rFonts w:ascii="Arial" w:eastAsia="Times New Roman" w:hAnsi="Arial" w:cs="Arial"/>
          <w:i/>
          <w:iCs/>
          <w:color w:val="171717"/>
          <w:spacing w:val="-3"/>
          <w:kern w:val="0"/>
          <w:sz w:val="36"/>
          <w:szCs w:val="36"/>
          <w:lang w:eastAsia="da-DK"/>
          <w14:ligatures w14:val="none"/>
        </w:rPr>
        <w:t xml:space="preserve"> af det </w:t>
      </w:r>
      <w:proofErr w:type="spellStart"/>
      <w:r w:rsidRPr="00271F13">
        <w:rPr>
          <w:rFonts w:ascii="Arial" w:eastAsia="Times New Roman" w:hAnsi="Arial" w:cs="Arial"/>
          <w:i/>
          <w:iCs/>
          <w:color w:val="171717"/>
          <w:spacing w:val="-3"/>
          <w:kern w:val="0"/>
          <w:sz w:val="36"/>
          <w:szCs w:val="36"/>
          <w:lang w:eastAsia="da-DK"/>
          <w14:ligatures w14:val="none"/>
        </w:rPr>
        <w:t>Ethiske</w:t>
      </w:r>
      <w:proofErr w:type="spellEnd"/>
      <w:r w:rsidRPr="00271F13">
        <w:rPr>
          <w:rFonts w:ascii="Arial" w:eastAsia="Times New Roman" w:hAnsi="Arial" w:cs="Arial"/>
          <w:i/>
          <w:iCs/>
          <w:color w:val="171717"/>
          <w:spacing w:val="-3"/>
          <w:kern w:val="0"/>
          <w:sz w:val="36"/>
          <w:szCs w:val="36"/>
          <w:lang w:eastAsia="da-DK"/>
          <w14:ligatures w14:val="none"/>
        </w:rPr>
        <w:t>?</w:t>
      </w:r>
    </w:p>
    <w:p w14:paraId="0F379990" w14:textId="77777777" w:rsidR="00271F13" w:rsidRPr="00271F13" w:rsidRDefault="00271F13" w:rsidP="00271F13">
      <w:pPr>
        <w:shd w:val="clear" w:color="auto" w:fill="FFFFFF"/>
        <w:jc w:val="both"/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</w:pPr>
      <w:r w:rsidRPr="00271F13">
        <w:rPr>
          <w:rFonts w:ascii="Arial" w:eastAsia="Times New Roman" w:hAnsi="Arial" w:cs="Arial"/>
          <w:color w:val="171717"/>
          <w:spacing w:val="-3"/>
          <w:kern w:val="0"/>
          <w:sz w:val="48"/>
          <w:szCs w:val="48"/>
          <w:lang w:eastAsia="da-DK"/>
          <w14:ligatures w14:val="none"/>
        </w:rPr>
        <w:t>D</w:t>
      </w:r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et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Ethiske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er som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saadant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det Almene, og som det Almene Det, der er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gjeldende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for Enhver, hvilket fra en anden Side lader sig udtrykke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saaledes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, at det er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gjeldende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i ethvert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Øieblik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. Det hviler immanent i sig selv, har Intet uden for sig, der er dets 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fldChar w:fldCharType="begin"/>
      </w:r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instrText>HYPERLINK "http://tekster.kb.dk/text/sks-fb-kom-root" \l "fb-222" \o "Kommentar"</w:instrText>
      </w:r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</w:r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fldChar w:fldCharType="separate"/>
      </w:r>
      <w:r w:rsidRPr="00271F13">
        <w:rPr>
          <w:rFonts w:ascii="Arial" w:eastAsia="Times New Roman" w:hAnsi="Arial" w:cs="Arial"/>
          <w:color w:val="0000FF"/>
          <w:spacing w:val="-3"/>
          <w:kern w:val="0"/>
          <w:u w:val="single"/>
          <w:lang w:eastAsia="da-DK"/>
          <w14:ligatures w14:val="none"/>
        </w:rPr>
        <w:t>τελος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fldChar w:fldCharType="end"/>
      </w:r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, men er selv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τελος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for Alt, hvad det har udenfor sig, og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naar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det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Ethiske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har optaget dette i sig, da kommer det ikke videre. Umiddelbar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sandselig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og sjælelig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bestemmet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er den Enkelte den Enkelte, der i det Almene har sit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τελος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, og dette er hans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ethiske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Opgave, bestandig at udtrykke sig selv i dette, at ophæve sin Enkelthed for at blive det Almene.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Saasnart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den Enkelte vil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gjøre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sig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gjeldende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i sin Enkelthed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ligeoverfor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det Almene, da synder han, og kan kun ved at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anerkjende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dette atter forsone sig med det Almene. Hver Gang den Enkelte,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efterat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have været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traadt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ind i det Almene, føler en Tilskyndelse til at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gjøre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sig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gjeldende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som den Enkelte, da er han i Anfægtelse, af hvilken han kun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arbeider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sig ud, ved angrende at opgive sig selv som den Enkelte i det Almene. Er dette det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Høieste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, der lader sig sige om Mennesket og om hans Tilværelse,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saa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har det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Ethiske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samme Beskaffenhed som et Menneskes evige Salighed, hvilken i al Evighed og i hvert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Øieblik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er hans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τελος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, da det </w:t>
      </w:r>
      <w:proofErr w:type="gram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vilde</w:t>
      </w:r>
      <w:proofErr w:type="gram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være en Modsigelse, at den </w:t>
      </w:r>
      <w:proofErr w:type="gram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skulde</w:t>
      </w:r>
      <w:proofErr w:type="gram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kunne opgives (ɔ: teleologisk suspenderes) da den,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saasnart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den suspenderes,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forskjærtses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, medens hvad der </w:t>
      </w:r>
      <w:proofErr w:type="gram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suspenderes</w:t>
      </w:r>
      <w:proofErr w:type="gram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ikke er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forskjærtset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, men netop bevaret i det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Høiere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, der er dets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τελος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.</w:t>
      </w:r>
    </w:p>
    <w:p w14:paraId="630AEB8C" w14:textId="77777777" w:rsidR="00271F13" w:rsidRPr="00271F13" w:rsidRDefault="00271F13" w:rsidP="00271F13">
      <w:pPr>
        <w:shd w:val="clear" w:color="auto" w:fill="FFFFFF"/>
        <w:spacing w:before="100" w:beforeAutospacing="1" w:after="100" w:afterAutospacing="1"/>
        <w:ind w:firstLine="240"/>
        <w:jc w:val="both"/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</w:pPr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Forholder det sig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saaledes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, </w:t>
      </w:r>
      <w:hyperlink r:id="rId10" w:anchor="fb-223" w:tooltip="Kommentar" w:history="1">
        <w:r w:rsidRPr="00271F13">
          <w:rPr>
            <w:rFonts w:ascii="Arial" w:eastAsia="Times New Roman" w:hAnsi="Arial" w:cs="Arial"/>
            <w:color w:val="0000FF"/>
            <w:spacing w:val="-3"/>
            <w:kern w:val="0"/>
            <w:u w:val="single"/>
            <w:lang w:eastAsia="da-DK"/>
            <w14:ligatures w14:val="none"/>
          </w:rPr>
          <w:t>da har </w:t>
        </w:r>
        <w:r w:rsidRPr="00271F13">
          <w:rPr>
            <w:rFonts w:ascii="Arial" w:eastAsia="Times New Roman" w:hAnsi="Arial" w:cs="Arial"/>
            <w:color w:val="0000FF"/>
            <w:spacing w:val="-3"/>
            <w:kern w:val="0"/>
            <w:lang w:eastAsia="da-DK"/>
            <w14:ligatures w14:val="none"/>
          </w:rPr>
          <w:t>Hegel</w:t>
        </w:r>
        <w:r w:rsidRPr="00271F13">
          <w:rPr>
            <w:rFonts w:ascii="Arial" w:eastAsia="Times New Roman" w:hAnsi="Arial" w:cs="Arial"/>
            <w:color w:val="0000FF"/>
            <w:spacing w:val="-3"/>
            <w:kern w:val="0"/>
            <w:u w:val="single"/>
            <w:lang w:eastAsia="da-DK"/>
            <w14:ligatures w14:val="none"/>
          </w:rPr>
          <w:t> Ret</w:t>
        </w:r>
      </w:hyperlink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,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naar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han lader Mennesket i det Gode og Samvittigheden kun være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bestemmet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som den En</w:t>
      </w:r>
      <w:hyperlink r:id="rId11" w:anchor="ss149" w:tooltip="Side: 149(SKS)" w:history="1">
        <w:r w:rsidRPr="00271F13">
          <w:rPr>
            <w:rFonts w:ascii="Arial" w:eastAsia="Times New Roman" w:hAnsi="Arial" w:cs="Arial"/>
            <w:color w:val="0000FF"/>
            <w:spacing w:val="-3"/>
            <w:kern w:val="0"/>
            <w:sz w:val="21"/>
            <w:szCs w:val="21"/>
            <w:u w:val="single"/>
            <w:lang w:eastAsia="da-DK"/>
            <w14:ligatures w14:val="none"/>
          </w:rPr>
          <w:t>149</w:t>
        </w:r>
      </w:hyperlink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kelte, han har Ret i at betragte denne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Bestemmethed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som en »moralsk Form af det Onde« (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cfr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. især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Retsphilosophien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) hvilken skal </w:t>
      </w:r>
      <w:hyperlink r:id="rId12" w:anchor="fb-224" w:tooltip="Kommentar" w:history="1">
        <w:r w:rsidRPr="00271F13">
          <w:rPr>
            <w:rFonts w:ascii="Arial" w:eastAsia="Times New Roman" w:hAnsi="Arial" w:cs="Arial"/>
            <w:color w:val="0000FF"/>
            <w:spacing w:val="-3"/>
            <w:kern w:val="0"/>
            <w:u w:val="single"/>
            <w:lang w:eastAsia="da-DK"/>
            <w14:ligatures w14:val="none"/>
          </w:rPr>
          <w:t>ophæves</w:t>
        </w:r>
      </w:hyperlink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 i det Sædeliges Teleologi,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saaledes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at den Enkelte, der forbliver i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hiint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Stadium, enten synder eller ligger i Anfægtelse. </w:t>
      </w:r>
      <w:hyperlink r:id="rId13" w:anchor="fb-225" w:tooltip="Kommentar" w:history="1">
        <w:r w:rsidRPr="00271F13">
          <w:rPr>
            <w:rFonts w:ascii="Arial" w:eastAsia="Times New Roman" w:hAnsi="Arial" w:cs="Arial"/>
            <w:color w:val="0000FF"/>
            <w:spacing w:val="-3"/>
            <w:kern w:val="0"/>
            <w:u w:val="single"/>
            <w:lang w:eastAsia="da-DK"/>
            <w14:ligatures w14:val="none"/>
          </w:rPr>
          <w:t>Hvad </w:t>
        </w:r>
        <w:r w:rsidRPr="00271F13">
          <w:rPr>
            <w:rFonts w:ascii="Arial" w:eastAsia="Times New Roman" w:hAnsi="Arial" w:cs="Arial"/>
            <w:color w:val="0000FF"/>
            <w:spacing w:val="-3"/>
            <w:kern w:val="0"/>
            <w:lang w:eastAsia="da-DK"/>
            <w14:ligatures w14:val="none"/>
          </w:rPr>
          <w:t>Hegel</w:t>
        </w:r>
        <w:r w:rsidRPr="00271F13">
          <w:rPr>
            <w:rFonts w:ascii="Arial" w:eastAsia="Times New Roman" w:hAnsi="Arial" w:cs="Arial"/>
            <w:color w:val="0000FF"/>
            <w:spacing w:val="-3"/>
            <w:kern w:val="0"/>
            <w:u w:val="single"/>
            <w:lang w:eastAsia="da-DK"/>
            <w14:ligatures w14:val="none"/>
          </w:rPr>
          <w:t> derimod</w:t>
        </w:r>
      </w:hyperlink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 ikke har Ret i, er at tale om Troen, Uret i ikke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høit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og lydeligt at protestere mod, at Abraham nyder Hæder og Ære som en Troens Fader, medens han burde hjemvises og udvises som en Morder.</w:t>
      </w:r>
    </w:p>
    <w:p w14:paraId="34FB4994" w14:textId="77777777" w:rsidR="00271F13" w:rsidRPr="00271F13" w:rsidRDefault="00271F13" w:rsidP="00271F13">
      <w:pPr>
        <w:shd w:val="clear" w:color="auto" w:fill="FFFFFF"/>
        <w:spacing w:before="100" w:beforeAutospacing="1" w:after="100" w:afterAutospacing="1"/>
        <w:ind w:firstLine="240"/>
        <w:jc w:val="both"/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</w:pPr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Troen er nemlig dette Paradox, at den Enkelte er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høiere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end det Almene, dog vel at mærke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saaledes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, at Bevægelsen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gjentager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sig, at han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altsaa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,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efterat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have været i det Almene, nu som den Enkelte isolerer sig som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høiere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end det Almene. Dersom dette ikke er Troen,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saa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er Abraham tabt,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saa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har Troen aldrig været til i Verden, netop fordi den altid har været til. Thi hvis det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Ethiske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 ɔ: det Sædelige er det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Høieste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, og der intet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Incommensurabelt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bliver tilbage i Mennesket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paa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anden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Maade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, end at dette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Incommensurable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er det Onde ɔ: det Enkelte, der skal udtrykkes i det Almene,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saa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behøver man ikke andre Kategorier end hvad den græske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Philosophi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havde, eller hvad der ved en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consequent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Tænkning lader sig uddrage af disse. Dette burde Hegel ikke have lagt Skjul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paa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; thi han har dog </w:t>
      </w:r>
      <w:proofErr w:type="spellStart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>havt</w:t>
      </w:r>
      <w:proofErr w:type="spellEnd"/>
      <w:r w:rsidRPr="00271F13">
        <w:rPr>
          <w:rFonts w:ascii="Arial" w:eastAsia="Times New Roman" w:hAnsi="Arial" w:cs="Arial"/>
          <w:color w:val="171717"/>
          <w:spacing w:val="-3"/>
          <w:kern w:val="0"/>
          <w:lang w:eastAsia="da-DK"/>
          <w14:ligatures w14:val="none"/>
        </w:rPr>
        <w:t xml:space="preserve"> græske Studier.</w:t>
      </w:r>
    </w:p>
    <w:p w14:paraId="62B8F1C3" w14:textId="082D7115" w:rsidR="00271F13" w:rsidRDefault="00271F13"/>
    <w:sectPr w:rsidR="00271F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06"/>
    <w:rsid w:val="001D4E65"/>
    <w:rsid w:val="00271F13"/>
    <w:rsid w:val="005B2206"/>
    <w:rsid w:val="00634EA0"/>
    <w:rsid w:val="00794357"/>
    <w:rsid w:val="00B01FA0"/>
    <w:rsid w:val="00CA55D6"/>
    <w:rsid w:val="00E65565"/>
    <w:rsid w:val="00E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1BEA58"/>
  <w15:chartTrackingRefBased/>
  <w15:docId w15:val="{79435AB8-F1B4-FE4B-9BA7-69A344DC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B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22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22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22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22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2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B2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2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22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22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22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22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22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22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22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22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22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22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22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22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22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22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5B2206"/>
    <w:rPr>
      <w:color w:val="0000FF"/>
      <w:u w:val="single"/>
    </w:rPr>
  </w:style>
  <w:style w:type="character" w:customStyle="1" w:styleId="person">
    <w:name w:val="person"/>
    <w:basedOn w:val="Standardskrifttypeiafsnit"/>
    <w:rsid w:val="005B2206"/>
  </w:style>
  <w:style w:type="paragraph" w:customStyle="1" w:styleId="init">
    <w:name w:val="init"/>
    <w:basedOn w:val="Normal"/>
    <w:rsid w:val="00271F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paragraph">
    <w:name w:val="paragraph"/>
    <w:basedOn w:val="Normal"/>
    <w:rsid w:val="00271F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kster.kb.dk/text/sks-fb-kom-root" TargetMode="External"/><Relationship Id="rId13" Type="http://schemas.openxmlformats.org/officeDocument/2006/relationships/hyperlink" Target="http://tekster.kb.dk/text/sks-fb-kom-ro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kster.kb.dk/text/sks-fb-kom-root" TargetMode="External"/><Relationship Id="rId12" Type="http://schemas.openxmlformats.org/officeDocument/2006/relationships/hyperlink" Target="http://tekster.kb.dk/text/sks-fb-kom-ro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kster.kb.dk/text/sks-fb-txt-root" TargetMode="External"/><Relationship Id="rId11" Type="http://schemas.openxmlformats.org/officeDocument/2006/relationships/hyperlink" Target="https://tekster.kb.dk/text/sks-fb-txt-root" TargetMode="External"/><Relationship Id="rId5" Type="http://schemas.openxmlformats.org/officeDocument/2006/relationships/hyperlink" Target="http://tekster.kb.dk/text/sks-fb-kom-roo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kster.kb.dk/text/sks-fb-kom-root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tekster.kb.dk/text/sks-fb-kom-roo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5355</Characters>
  <Application>Microsoft Office Word</Application>
  <DocSecurity>0</DocSecurity>
  <Lines>77</Lines>
  <Paragraphs>24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Veje Rasmussen</dc:creator>
  <cp:keywords/>
  <dc:description/>
  <cp:lastModifiedBy>Palle Veje Rasmussen</cp:lastModifiedBy>
  <cp:revision>2</cp:revision>
  <dcterms:created xsi:type="dcterms:W3CDTF">2026-02-01T07:44:00Z</dcterms:created>
  <dcterms:modified xsi:type="dcterms:W3CDTF">2026-02-01T07:44:00Z</dcterms:modified>
</cp:coreProperties>
</file>