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751A" w14:textId="535A122E" w:rsidR="00CF582B" w:rsidRPr="00CF582B" w:rsidRDefault="00CF582B" w:rsidP="00CF582B">
      <w:pPr>
        <w:pStyle w:val="Overskrift1"/>
        <w:rPr>
          <w:b/>
          <w:bCs/>
        </w:rPr>
      </w:pPr>
      <w:r w:rsidRPr="00CF582B">
        <w:rPr>
          <w:b/>
          <w:bCs/>
        </w:rPr>
        <w:t>Fermentering</w:t>
      </w:r>
    </w:p>
    <w:p w14:paraId="22DCE836" w14:textId="20C2C137" w:rsidR="002329A5" w:rsidRDefault="00CF582B">
      <w:hyperlink r:id="rId7" w:history="1">
        <w:r w:rsidRPr="008426D9">
          <w:rPr>
            <w:rStyle w:val="Hyperlink"/>
          </w:rPr>
          <w:t>https://lex.dk/fermentering</w:t>
        </w:r>
      </w:hyperlink>
      <w:r>
        <w:t xml:space="preserve"> </w:t>
      </w:r>
    </w:p>
    <w:p w14:paraId="040EE9AD" w14:textId="77777777" w:rsidR="00CF582B" w:rsidRPr="00CF582B" w:rsidRDefault="00CF582B" w:rsidP="00CF582B">
      <w:pPr>
        <w:rPr>
          <w:b/>
          <w:bCs/>
        </w:rPr>
      </w:pPr>
      <w:r w:rsidRPr="00CF582B">
        <w:rPr>
          <w:b/>
          <w:bCs/>
        </w:rPr>
        <w:t xml:space="preserve">Fermentering er de processer, hvorunder levende celler, især mikroorganismer, frigør kemisk energi fra </w:t>
      </w:r>
      <w:proofErr w:type="spellStart"/>
      <w:r w:rsidRPr="00CF582B">
        <w:rPr>
          <w:b/>
          <w:bCs/>
        </w:rPr>
        <w:t>sukkerarter</w:t>
      </w:r>
      <w:proofErr w:type="spellEnd"/>
      <w:r w:rsidRPr="00CF582B">
        <w:rPr>
          <w:b/>
          <w:bCs/>
        </w:rPr>
        <w:t xml:space="preserve"> eller andre organiske molekyler under </w:t>
      </w:r>
      <w:proofErr w:type="spellStart"/>
      <w:r w:rsidRPr="00CF582B">
        <w:rPr>
          <w:b/>
          <w:bCs/>
        </w:rPr>
        <w:t>iltfri</w:t>
      </w:r>
      <w:proofErr w:type="spellEnd"/>
      <w:r w:rsidRPr="00CF582B">
        <w:rPr>
          <w:b/>
          <w:bCs/>
        </w:rPr>
        <w:t xml:space="preserve"> (</w:t>
      </w:r>
      <w:r w:rsidRPr="00CF582B">
        <w:rPr>
          <w:b/>
          <w:bCs/>
          <w:i/>
          <w:iCs/>
        </w:rPr>
        <w:t>anaerobe</w:t>
      </w:r>
      <w:r w:rsidRPr="00CF582B">
        <w:rPr>
          <w:b/>
          <w:bCs/>
        </w:rPr>
        <w:t xml:space="preserve">) eller næsten </w:t>
      </w:r>
      <w:proofErr w:type="spellStart"/>
      <w:r w:rsidRPr="00CF582B">
        <w:rPr>
          <w:b/>
          <w:bCs/>
        </w:rPr>
        <w:t>iltfri</w:t>
      </w:r>
      <w:proofErr w:type="spellEnd"/>
      <w:r w:rsidRPr="00CF582B">
        <w:rPr>
          <w:b/>
          <w:bCs/>
        </w:rPr>
        <w:t xml:space="preserve"> betingelser.</w:t>
      </w:r>
    </w:p>
    <w:p w14:paraId="4165BC37" w14:textId="77777777" w:rsidR="00CF582B" w:rsidRPr="00CF582B" w:rsidRDefault="00CF582B" w:rsidP="00CF582B">
      <w:pPr>
        <w:rPr>
          <w:b/>
          <w:bCs/>
        </w:rPr>
      </w:pPr>
      <w:r w:rsidRPr="00CF582B">
        <w:rPr>
          <w:b/>
          <w:bCs/>
        </w:rPr>
        <w:t>Ordet </w:t>
      </w:r>
      <w:r w:rsidRPr="00CF582B">
        <w:rPr>
          <w:b/>
          <w:bCs/>
          <w:i/>
          <w:iCs/>
        </w:rPr>
        <w:t>fermentering</w:t>
      </w:r>
      <w:r w:rsidRPr="00CF582B">
        <w:rPr>
          <w:b/>
          <w:bCs/>
        </w:rPr>
        <w:t> kommer af latin </w:t>
      </w:r>
      <w:proofErr w:type="spellStart"/>
      <w:r w:rsidRPr="00CF582B">
        <w:rPr>
          <w:b/>
          <w:bCs/>
          <w:i/>
          <w:iCs/>
        </w:rPr>
        <w:t>fermentum</w:t>
      </w:r>
      <w:proofErr w:type="spellEnd"/>
      <w:r w:rsidRPr="00CF582B">
        <w:rPr>
          <w:b/>
          <w:bCs/>
        </w:rPr>
        <w:t>, 'forgæring'.</w:t>
      </w:r>
    </w:p>
    <w:p w14:paraId="5F053CB8" w14:textId="0493FCE1" w:rsidR="00CF582B" w:rsidRPr="00CF582B" w:rsidRDefault="00CF582B" w:rsidP="00CF582B">
      <w:pPr>
        <w:rPr>
          <w:b/>
          <w:bCs/>
        </w:rPr>
      </w:pPr>
      <w:r w:rsidRPr="00CF582B">
        <w:rPr>
          <w:b/>
          <w:bCs/>
        </w:rPr>
        <w:t>Hos anaerobe</w:t>
      </w:r>
      <w:r w:rsidR="008F5725" w:rsidRPr="008F5725">
        <w:rPr>
          <w:rStyle w:val="Fodnotehenvisning"/>
          <w:b/>
          <w:bCs/>
        </w:rPr>
        <w:footnoteReference w:id="1"/>
      </w:r>
      <w:r w:rsidRPr="00CF582B">
        <w:rPr>
          <w:b/>
          <w:bCs/>
        </w:rPr>
        <w:t xml:space="preserve"> og fakultativt anaerobe</w:t>
      </w:r>
      <w:r w:rsidR="008F5725" w:rsidRPr="008F5725">
        <w:rPr>
          <w:rStyle w:val="Fodnotehenvisning"/>
          <w:b/>
          <w:bCs/>
        </w:rPr>
        <w:footnoteReference w:id="2"/>
      </w:r>
      <w:r w:rsidRPr="00CF582B">
        <w:rPr>
          <w:b/>
          <w:bCs/>
        </w:rPr>
        <w:t xml:space="preserve"> mikroorganismer er fermenteringsprocesserne nødvendige for energiproduktionen, og det er ofte en </w:t>
      </w:r>
      <w:proofErr w:type="spellStart"/>
      <w:r w:rsidRPr="00CF582B">
        <w:rPr>
          <w:b/>
          <w:bCs/>
        </w:rPr>
        <w:t>sukkerart</w:t>
      </w:r>
      <w:proofErr w:type="spellEnd"/>
      <w:r w:rsidRPr="00CF582B">
        <w:rPr>
          <w:b/>
          <w:bCs/>
        </w:rPr>
        <w:t xml:space="preserve">, som er udgangspunkt for de enzymatiske reaktioner, som fører til dannelsen af en alkohol, en keton eller en syre. </w:t>
      </w:r>
    </w:p>
    <w:p w14:paraId="66F7427F" w14:textId="77777777" w:rsidR="00CF582B" w:rsidRPr="00CF582B" w:rsidRDefault="00CF582B" w:rsidP="00CF582B">
      <w:pPr>
        <w:rPr>
          <w:b/>
          <w:bCs/>
        </w:rPr>
      </w:pPr>
      <w:r w:rsidRPr="00CF582B">
        <w:rPr>
          <w:b/>
          <w:bCs/>
        </w:rPr>
        <w:t>I den bioteknologiske fremstilling af stoffer i store mængder er fermentering helt central. En lang række produkter fremstilles industrielt ved fermentering, fx alkohol, citronsyre, aminosyrer, enzymer, vitaminer, antibiotika og insulin. Mange fermenteringsprocesser er gammelkendte, fx fremstilling af </w:t>
      </w:r>
      <w:hyperlink r:id="rId8" w:history="1">
        <w:r w:rsidRPr="00CF582B">
          <w:rPr>
            <w:rStyle w:val="Hyperlink"/>
            <w:b/>
            <w:bCs/>
          </w:rPr>
          <w:t>vin</w:t>
        </w:r>
      </w:hyperlink>
      <w:r w:rsidRPr="00CF582B">
        <w:rPr>
          <w:b/>
          <w:bCs/>
        </w:rPr>
        <w:t> og </w:t>
      </w:r>
      <w:hyperlink r:id="rId9" w:history="1">
        <w:r w:rsidRPr="00CF582B">
          <w:rPr>
            <w:rStyle w:val="Hyperlink"/>
            <w:b/>
            <w:bCs/>
          </w:rPr>
          <w:t>øl</w:t>
        </w:r>
      </w:hyperlink>
      <w:r w:rsidRPr="00CF582B">
        <w:rPr>
          <w:b/>
          <w:bCs/>
        </w:rPr>
        <w:t>. I store gæringstanke (</w:t>
      </w:r>
      <w:proofErr w:type="spellStart"/>
      <w:r w:rsidRPr="00CF582B">
        <w:rPr>
          <w:b/>
          <w:bCs/>
          <w:i/>
          <w:iCs/>
        </w:rPr>
        <w:t>fermentorer</w:t>
      </w:r>
      <w:proofErr w:type="spellEnd"/>
      <w:r w:rsidRPr="00CF582B">
        <w:rPr>
          <w:b/>
          <w:bCs/>
        </w:rPr>
        <w:t>) dyrkes de organismer, fx </w:t>
      </w:r>
      <w:hyperlink r:id="rId10" w:history="1">
        <w:r w:rsidRPr="00CF582B">
          <w:rPr>
            <w:rStyle w:val="Hyperlink"/>
            <w:b/>
            <w:bCs/>
          </w:rPr>
          <w:t>gær</w:t>
        </w:r>
      </w:hyperlink>
      <w:r w:rsidRPr="00CF582B">
        <w:rPr>
          <w:b/>
          <w:bCs/>
        </w:rPr>
        <w:t> eller </w:t>
      </w:r>
      <w:hyperlink r:id="rId11" w:history="1">
        <w:r w:rsidRPr="00CF582B">
          <w:rPr>
            <w:rStyle w:val="Hyperlink"/>
            <w:b/>
            <w:bCs/>
          </w:rPr>
          <w:t>bakterier</w:t>
        </w:r>
      </w:hyperlink>
      <w:r w:rsidRPr="00CF582B">
        <w:rPr>
          <w:b/>
          <w:bCs/>
        </w:rPr>
        <w:t xml:space="preserve">, som producerer det ønskede stof. Organismerne kan være gensplejsede, </w:t>
      </w:r>
      <w:proofErr w:type="gramStart"/>
      <w:r w:rsidRPr="00CF582B">
        <w:rPr>
          <w:b/>
          <w:bCs/>
        </w:rPr>
        <w:t>således at</w:t>
      </w:r>
      <w:proofErr w:type="gramEnd"/>
      <w:r w:rsidRPr="00CF582B">
        <w:rPr>
          <w:b/>
          <w:bCs/>
        </w:rPr>
        <w:t xml:space="preserve"> de producerer et stof, fx </w:t>
      </w:r>
      <w:hyperlink r:id="rId12" w:history="1">
        <w:r w:rsidRPr="00CF582B">
          <w:rPr>
            <w:rStyle w:val="Hyperlink"/>
            <w:b/>
            <w:bCs/>
          </w:rPr>
          <w:t>insulin</w:t>
        </w:r>
      </w:hyperlink>
      <w:r w:rsidRPr="00CF582B">
        <w:rPr>
          <w:b/>
          <w:bCs/>
        </w:rPr>
        <w:t xml:space="preserve">, som de ellers ikke naturligt ville danne. </w:t>
      </w:r>
      <w:proofErr w:type="spellStart"/>
      <w:r w:rsidRPr="00CF582B">
        <w:rPr>
          <w:b/>
          <w:bCs/>
        </w:rPr>
        <w:t>Fermentoren</w:t>
      </w:r>
      <w:proofErr w:type="spellEnd"/>
      <w:r w:rsidRPr="00CF582B">
        <w:rPr>
          <w:b/>
          <w:bCs/>
        </w:rPr>
        <w:t xml:space="preserve"> indeholder næringsmedium (</w:t>
      </w:r>
      <w:r w:rsidRPr="00CF582B">
        <w:rPr>
          <w:b/>
          <w:bCs/>
          <w:i/>
          <w:iCs/>
        </w:rPr>
        <w:t>substrat</w:t>
      </w:r>
      <w:r w:rsidRPr="00CF582B">
        <w:rPr>
          <w:b/>
          <w:bCs/>
        </w:rPr>
        <w:t>), og vækstbetingelserne for mikroorganismerne (fx temperatur, pH og evt. ilttilførsel) holdes under nøje kontrol.</w:t>
      </w:r>
    </w:p>
    <w:p w14:paraId="36BEF24E" w14:textId="77777777" w:rsidR="00CF582B" w:rsidRPr="00CF582B" w:rsidRDefault="00CF582B" w:rsidP="00CF582B">
      <w:pPr>
        <w:rPr>
          <w:b/>
          <w:bCs/>
        </w:rPr>
      </w:pPr>
      <w:r w:rsidRPr="00CF582B">
        <w:rPr>
          <w:b/>
          <w:bCs/>
        </w:rPr>
        <w:t>Fermenteringens biokemi</w:t>
      </w:r>
    </w:p>
    <w:p w14:paraId="566270F4" w14:textId="77777777" w:rsidR="00CF582B" w:rsidRPr="00CF582B" w:rsidRDefault="00CF582B" w:rsidP="00CF582B">
      <w:r w:rsidRPr="00CF582B">
        <w:t xml:space="preserve">Ved fermentering indgår der ikke fri ilt eller en elektrontransportkæde i selve processerne, og et organisk molekyle fungerer som den endelige </w:t>
      </w:r>
      <w:proofErr w:type="spellStart"/>
      <w:r w:rsidRPr="00CF582B">
        <w:t>elektronacceptor</w:t>
      </w:r>
      <w:proofErr w:type="spellEnd"/>
      <w:r w:rsidRPr="00CF582B">
        <w:t>.</w:t>
      </w:r>
    </w:p>
    <w:p w14:paraId="19941995" w14:textId="77777777" w:rsidR="00CF582B" w:rsidRPr="00CF582B" w:rsidRDefault="00CF582B" w:rsidP="00CF582B">
      <w:r w:rsidRPr="00CF582B">
        <w:rPr>
          <w:b/>
          <w:bCs/>
        </w:rPr>
        <w:t xml:space="preserve">I omtrent alle levende celler foregår den første del af omsætningen af forskellige </w:t>
      </w:r>
      <w:proofErr w:type="spellStart"/>
      <w:r w:rsidRPr="00CF582B">
        <w:rPr>
          <w:b/>
          <w:bCs/>
        </w:rPr>
        <w:t>sukkerarter</w:t>
      </w:r>
      <w:proofErr w:type="spellEnd"/>
      <w:r w:rsidRPr="00CF582B">
        <w:rPr>
          <w:b/>
          <w:bCs/>
        </w:rPr>
        <w:t xml:space="preserve"> via </w:t>
      </w:r>
      <w:r w:rsidRPr="00CF582B">
        <w:rPr>
          <w:b/>
          <w:bCs/>
          <w:i/>
          <w:iCs/>
        </w:rPr>
        <w:t>glykolysen</w:t>
      </w:r>
      <w:r w:rsidRPr="00CF582B">
        <w:rPr>
          <w:b/>
          <w:bCs/>
        </w:rPr>
        <w:t>,</w:t>
      </w:r>
      <w:r w:rsidRPr="00CF582B">
        <w:t xml:space="preserve"> som også betegnes </w:t>
      </w:r>
      <w:proofErr w:type="spellStart"/>
      <w:r w:rsidRPr="00CF582B">
        <w:rPr>
          <w:i/>
          <w:iCs/>
        </w:rPr>
        <w:t>Embden</w:t>
      </w:r>
      <w:proofErr w:type="spellEnd"/>
      <w:r w:rsidRPr="00CF582B">
        <w:rPr>
          <w:i/>
          <w:iCs/>
        </w:rPr>
        <w:t>-Meyerhof-nedbrydningen</w:t>
      </w:r>
      <w:r w:rsidRPr="00CF582B">
        <w:t xml:space="preserve">. Denne energigivende proces involverer en række </w:t>
      </w:r>
      <w:proofErr w:type="spellStart"/>
      <w:r w:rsidRPr="00CF582B">
        <w:t>fosforylerede</w:t>
      </w:r>
      <w:proofErr w:type="spellEnd"/>
      <w:r w:rsidRPr="00CF582B">
        <w:t xml:space="preserve"> sukkermolekyler, der gennem en række enzymatiske trin omdannes til pyruvat. Ved denne omsætning af glukose bliver slutresultatet: glukose + 2 ADP + 2 fosfat + 2 NAD</w:t>
      </w:r>
      <w:r w:rsidRPr="00CF582B">
        <w:rPr>
          <w:vertAlign w:val="superscript"/>
        </w:rPr>
        <w:t>+</w:t>
      </w:r>
      <w:r w:rsidRPr="00CF582B">
        <w:t>→ 2 pyruvat + 2 ATP + 2 NADH + 2 H</w:t>
      </w:r>
      <w:r w:rsidRPr="00CF582B">
        <w:rPr>
          <w:vertAlign w:val="superscript"/>
        </w:rPr>
        <w:t>+</w:t>
      </w:r>
      <w:r w:rsidRPr="00CF582B">
        <w:t> </w:t>
      </w:r>
      <w:r w:rsidRPr="00CF582B">
        <w:rPr>
          <w:b/>
          <w:bCs/>
        </w:rPr>
        <w:t>For hvert glukosemolekyle, der omsættes, dannes der således to molekyler pyruvat,</w:t>
      </w:r>
      <w:r w:rsidRPr="00CF582B">
        <w:t xml:space="preserve"> to energirige </w:t>
      </w:r>
      <w:hyperlink r:id="rId13" w:history="1">
        <w:r w:rsidRPr="00CF582B">
          <w:rPr>
            <w:rStyle w:val="Hyperlink"/>
          </w:rPr>
          <w:t>ATP</w:t>
        </w:r>
      </w:hyperlink>
      <w:r w:rsidRPr="00CF582B">
        <w:t>-molekyler og to reducerende </w:t>
      </w:r>
      <w:hyperlink r:id="rId14" w:history="1">
        <w:r w:rsidRPr="00CF582B">
          <w:rPr>
            <w:rStyle w:val="Hyperlink"/>
          </w:rPr>
          <w:t>NADH</w:t>
        </w:r>
      </w:hyperlink>
      <w:r w:rsidRPr="00CF582B">
        <w:t>-molekyler.</w:t>
      </w:r>
    </w:p>
    <w:p w14:paraId="61A633E8" w14:textId="77777777" w:rsidR="00CF582B" w:rsidRPr="00CF582B" w:rsidRDefault="00CF582B" w:rsidP="00CF582B">
      <w:r w:rsidRPr="00CF582B">
        <w:t>Under de iltfrie betingelser kan NADH ikke oxideres til NAD</w:t>
      </w:r>
      <w:r w:rsidRPr="00CF582B">
        <w:rPr>
          <w:vertAlign w:val="superscript"/>
        </w:rPr>
        <w:t>+</w:t>
      </w:r>
      <w:r w:rsidRPr="00CF582B">
        <w:t> gennem en energigivende elektrontransportkæde, men der eksisterer en række andre enzymatiske mekanismer, der opretholder NAD</w:t>
      </w:r>
      <w:r w:rsidRPr="00CF582B">
        <w:rPr>
          <w:vertAlign w:val="superscript"/>
        </w:rPr>
        <w:t>+</w:t>
      </w:r>
      <w:r w:rsidRPr="00CF582B">
        <w:t>/NADH-cyklus. Med pyruvat som udgangspunkt danner forskellige mikroorganismer en række fermenteringsprodukter; samtidig oxideres NADH til NAD</w:t>
      </w:r>
      <w:r w:rsidRPr="00CF582B">
        <w:rPr>
          <w:vertAlign w:val="superscript"/>
        </w:rPr>
        <w:t>+</w:t>
      </w:r>
      <w:r w:rsidRPr="00CF582B">
        <w:t>.</w:t>
      </w:r>
    </w:p>
    <w:p w14:paraId="40222FC3" w14:textId="35C5BE91" w:rsidR="00CF582B" w:rsidRPr="00CF582B" w:rsidRDefault="00CF582B" w:rsidP="00CF582B">
      <w:pPr>
        <w:rPr>
          <w:b/>
          <w:bCs/>
        </w:rPr>
      </w:pPr>
      <w:r w:rsidRPr="00CF582B">
        <w:rPr>
          <w:b/>
          <w:bCs/>
        </w:rPr>
        <w:t xml:space="preserve">Fermentering – </w:t>
      </w:r>
      <w:proofErr w:type="spellStart"/>
      <w:r w:rsidRPr="00CF582B">
        <w:rPr>
          <w:b/>
          <w:bCs/>
        </w:rPr>
        <w:t>pyrodruesyre</w:t>
      </w:r>
      <w:proofErr w:type="spellEnd"/>
      <w:r w:rsidR="008F5725">
        <w:rPr>
          <w:b/>
          <w:bCs/>
        </w:rPr>
        <w:t>/pyruvat</w:t>
      </w:r>
    </w:p>
    <w:tbl>
      <w:tblPr>
        <w:tblW w:w="8580" w:type="dxa"/>
        <w:shd w:val="clear" w:color="auto" w:fill="F3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  <w:gridCol w:w="5349"/>
      </w:tblGrid>
      <w:tr w:rsidR="00CF582B" w:rsidRPr="00CF582B" w14:paraId="24B9AA13" w14:textId="77777777" w:rsidTr="00CF582B">
        <w:trPr>
          <w:tblHeader/>
        </w:trPr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7A8F1591" w14:textId="77777777" w:rsidR="00CF582B" w:rsidRPr="00CF582B" w:rsidRDefault="00CF582B" w:rsidP="00CF582B">
            <w:pPr>
              <w:rPr>
                <w:b/>
                <w:bCs/>
              </w:rPr>
            </w:pPr>
            <w:r w:rsidRPr="00CF582B">
              <w:rPr>
                <w:b/>
                <w:bCs/>
              </w:rPr>
              <w:t>mikroorganismer</w:t>
            </w:r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5E3B51B0" w14:textId="77777777" w:rsidR="00CF582B" w:rsidRPr="00CF582B" w:rsidRDefault="00CF582B" w:rsidP="00CF582B">
            <w:pPr>
              <w:rPr>
                <w:b/>
                <w:bCs/>
              </w:rPr>
            </w:pPr>
            <w:r w:rsidRPr="00CF582B">
              <w:rPr>
                <w:b/>
                <w:bCs/>
              </w:rPr>
              <w:t>produkt</w:t>
            </w:r>
          </w:p>
        </w:tc>
      </w:tr>
      <w:tr w:rsidR="00CF582B" w:rsidRPr="00CF582B" w14:paraId="733BBE68" w14:textId="77777777" w:rsidTr="00CF582B"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01BE6C47" w14:textId="77777777" w:rsidR="00CF582B" w:rsidRPr="00CF582B" w:rsidRDefault="00CF582B" w:rsidP="00CF582B">
            <w:hyperlink r:id="rId15" w:history="1">
              <w:proofErr w:type="spellStart"/>
              <w:r w:rsidRPr="00CF582B">
                <w:rPr>
                  <w:rStyle w:val="Hyperlink"/>
                  <w:i/>
                  <w:iCs/>
                </w:rPr>
                <w:t>Saccharomyces</w:t>
              </w:r>
              <w:proofErr w:type="spellEnd"/>
            </w:hyperlink>
            <w:r w:rsidRPr="00CF582B">
              <w:t> (gær)</w:t>
            </w:r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014C9D50" w14:textId="77777777" w:rsidR="00CF582B" w:rsidRPr="00CF582B" w:rsidRDefault="00CF582B" w:rsidP="00CF582B">
            <w:r w:rsidRPr="00CF582B">
              <w:t>ætanol og CO</w:t>
            </w:r>
            <w:r w:rsidRPr="00CF582B">
              <w:rPr>
                <w:vertAlign w:val="subscript"/>
              </w:rPr>
              <w:t>2</w:t>
            </w:r>
          </w:p>
        </w:tc>
      </w:tr>
      <w:tr w:rsidR="00CF582B" w:rsidRPr="00CF582B" w14:paraId="304127F9" w14:textId="77777777" w:rsidTr="00CF582B"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5604A365" w14:textId="77777777" w:rsidR="00CF582B" w:rsidRPr="00CF582B" w:rsidRDefault="00CF582B" w:rsidP="00CF582B">
            <w:hyperlink r:id="rId16" w:history="1">
              <w:proofErr w:type="spellStart"/>
              <w:r w:rsidRPr="00CF582B">
                <w:rPr>
                  <w:rStyle w:val="Hyperlink"/>
                  <w:i/>
                  <w:iCs/>
                </w:rPr>
                <w:t>Streptococcus</w:t>
              </w:r>
              <w:proofErr w:type="spellEnd"/>
            </w:hyperlink>
            <w:r w:rsidRPr="00CF582B">
              <w:t> og </w:t>
            </w:r>
            <w:proofErr w:type="spellStart"/>
            <w:r w:rsidRPr="00CF582B">
              <w:rPr>
                <w:i/>
                <w:iCs/>
              </w:rPr>
              <w:fldChar w:fldCharType="begin"/>
            </w:r>
            <w:r w:rsidRPr="00CF582B">
              <w:rPr>
                <w:i/>
                <w:iCs/>
              </w:rPr>
              <w:instrText>HYPERLINK "https://lex.dk/Lactobacillus"</w:instrText>
            </w:r>
            <w:r w:rsidRPr="00CF582B">
              <w:rPr>
                <w:i/>
                <w:iCs/>
              </w:rPr>
            </w:r>
            <w:r w:rsidRPr="00CF582B">
              <w:rPr>
                <w:i/>
                <w:iCs/>
              </w:rPr>
              <w:fldChar w:fldCharType="separate"/>
            </w:r>
            <w:r w:rsidRPr="00CF582B">
              <w:rPr>
                <w:rStyle w:val="Hyperlink"/>
                <w:i/>
                <w:iCs/>
              </w:rPr>
              <w:t>Lactobacillus</w:t>
            </w:r>
            <w:proofErr w:type="spellEnd"/>
            <w:r w:rsidRPr="00CF582B">
              <w:fldChar w:fldCharType="end"/>
            </w:r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0AFD3E06" w14:textId="77777777" w:rsidR="00CF582B" w:rsidRPr="00CF582B" w:rsidRDefault="00CF582B" w:rsidP="00CF582B">
            <w:r w:rsidRPr="00CF582B">
              <w:t>mælkesyre</w:t>
            </w:r>
          </w:p>
        </w:tc>
      </w:tr>
      <w:tr w:rsidR="00CF582B" w:rsidRPr="00CF582B" w14:paraId="0DBCE064" w14:textId="77777777" w:rsidTr="00CF582B"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4EA75359" w14:textId="77777777" w:rsidR="00CF582B" w:rsidRPr="00CF582B" w:rsidRDefault="00CF582B" w:rsidP="00CF582B">
            <w:proofErr w:type="spellStart"/>
            <w:r w:rsidRPr="00CF582B">
              <w:rPr>
                <w:i/>
                <w:iCs/>
              </w:rPr>
              <w:t>Propionibacterium</w:t>
            </w:r>
            <w:proofErr w:type="spellEnd"/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043559A6" w14:textId="77777777" w:rsidR="00CF582B" w:rsidRPr="00CF582B" w:rsidRDefault="00CF582B" w:rsidP="00CF582B">
            <w:proofErr w:type="spellStart"/>
            <w:r w:rsidRPr="00CF582B">
              <w:t>propionsyre</w:t>
            </w:r>
            <w:proofErr w:type="spellEnd"/>
            <w:r w:rsidRPr="00CF582B">
              <w:t>, eddikesyre, CO</w:t>
            </w:r>
            <w:r w:rsidRPr="00CF582B">
              <w:rPr>
                <w:vertAlign w:val="subscript"/>
              </w:rPr>
              <w:t>2</w:t>
            </w:r>
            <w:r w:rsidRPr="00CF582B">
              <w:t> og H</w:t>
            </w:r>
            <w:r w:rsidRPr="00CF582B">
              <w:rPr>
                <w:vertAlign w:val="subscript"/>
              </w:rPr>
              <w:t>2</w:t>
            </w:r>
          </w:p>
        </w:tc>
      </w:tr>
      <w:tr w:rsidR="00CF582B" w:rsidRPr="00CF582B" w14:paraId="7C2EF0CB" w14:textId="77777777" w:rsidTr="00CF582B"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21F920D1" w14:textId="77777777" w:rsidR="00CF582B" w:rsidRPr="00CF582B" w:rsidRDefault="00CF582B" w:rsidP="00CF582B">
            <w:hyperlink r:id="rId17" w:history="1">
              <w:proofErr w:type="spellStart"/>
              <w:r w:rsidRPr="00CF582B">
                <w:rPr>
                  <w:rStyle w:val="Hyperlink"/>
                  <w:i/>
                  <w:iCs/>
                </w:rPr>
                <w:t>Clostridium</w:t>
              </w:r>
              <w:proofErr w:type="spellEnd"/>
            </w:hyperlink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6D6CA626" w14:textId="77777777" w:rsidR="00CF582B" w:rsidRPr="00CF582B" w:rsidRDefault="00CF582B" w:rsidP="00CF582B">
            <w:r w:rsidRPr="00CF582B">
              <w:t xml:space="preserve">smørsyre, butanol, </w:t>
            </w:r>
            <w:proofErr w:type="spellStart"/>
            <w:r w:rsidRPr="00CF582B">
              <w:t>isopropylalkohol</w:t>
            </w:r>
            <w:proofErr w:type="spellEnd"/>
            <w:r w:rsidRPr="00CF582B">
              <w:t>, acetone og CO</w:t>
            </w:r>
            <w:r w:rsidRPr="00CF582B">
              <w:rPr>
                <w:vertAlign w:val="subscript"/>
              </w:rPr>
              <w:t>2</w:t>
            </w:r>
          </w:p>
        </w:tc>
      </w:tr>
      <w:tr w:rsidR="00CF582B" w:rsidRPr="00CF582B" w14:paraId="773F1258" w14:textId="77777777" w:rsidTr="00CF582B"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2FD898A7" w14:textId="77777777" w:rsidR="00CF582B" w:rsidRPr="00CF582B" w:rsidRDefault="00CF582B" w:rsidP="00CF582B">
            <w:hyperlink r:id="rId18" w:history="1">
              <w:r w:rsidRPr="00CF582B">
                <w:rPr>
                  <w:rStyle w:val="Hyperlink"/>
                  <w:i/>
                  <w:iCs/>
                </w:rPr>
                <w:t>Escherichia</w:t>
              </w:r>
            </w:hyperlink>
            <w:r w:rsidRPr="00CF582B">
              <w:t> og </w:t>
            </w:r>
            <w:hyperlink r:id="rId19" w:history="1">
              <w:r w:rsidRPr="00CF582B">
                <w:rPr>
                  <w:rStyle w:val="Hyperlink"/>
                  <w:i/>
                  <w:iCs/>
                </w:rPr>
                <w:t>Salmonella</w:t>
              </w:r>
            </w:hyperlink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236510B7" w14:textId="77777777" w:rsidR="00CF582B" w:rsidRPr="00CF582B" w:rsidRDefault="00CF582B" w:rsidP="00CF582B">
            <w:r w:rsidRPr="00CF582B">
              <w:t>ætanol, mælkesyre, ravsyre, eddikesyre, CO</w:t>
            </w:r>
            <w:r w:rsidRPr="00CF582B">
              <w:rPr>
                <w:vertAlign w:val="subscript"/>
              </w:rPr>
              <w:t>2</w:t>
            </w:r>
            <w:r w:rsidRPr="00CF582B">
              <w:t> og H</w:t>
            </w:r>
            <w:r w:rsidRPr="00CF582B">
              <w:rPr>
                <w:vertAlign w:val="subscript"/>
              </w:rPr>
              <w:t>2</w:t>
            </w:r>
          </w:p>
        </w:tc>
      </w:tr>
      <w:tr w:rsidR="00CF582B" w:rsidRPr="00CF582B" w14:paraId="02A50054" w14:textId="77777777" w:rsidTr="00CF582B"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49AFC051" w14:textId="77777777" w:rsidR="00CF582B" w:rsidRPr="00CF582B" w:rsidRDefault="00CF582B" w:rsidP="00CF582B">
            <w:hyperlink r:id="rId20" w:history="1">
              <w:proofErr w:type="spellStart"/>
              <w:r w:rsidRPr="00CF582B">
                <w:rPr>
                  <w:rStyle w:val="Hyperlink"/>
                  <w:i/>
                  <w:iCs/>
                </w:rPr>
                <w:t>Enterobacter</w:t>
              </w:r>
              <w:proofErr w:type="spellEnd"/>
            </w:hyperlink>
          </w:p>
        </w:tc>
        <w:tc>
          <w:tcPr>
            <w:tcW w:w="0" w:type="auto"/>
            <w:shd w:val="clear" w:color="auto" w:fill="F3F4F4"/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14:paraId="7671B120" w14:textId="77777777" w:rsidR="00CF582B" w:rsidRPr="00CF582B" w:rsidRDefault="00CF582B" w:rsidP="00CF582B">
            <w:r w:rsidRPr="00CF582B">
              <w:t xml:space="preserve">ætanol, mælkesyre, </w:t>
            </w:r>
            <w:proofErr w:type="spellStart"/>
            <w:r w:rsidRPr="00CF582B">
              <w:t>butandiol</w:t>
            </w:r>
            <w:proofErr w:type="spellEnd"/>
            <w:r w:rsidRPr="00CF582B">
              <w:t>, CO</w:t>
            </w:r>
            <w:r w:rsidRPr="00CF582B">
              <w:rPr>
                <w:vertAlign w:val="subscript"/>
              </w:rPr>
              <w:t>2</w:t>
            </w:r>
            <w:r w:rsidRPr="00CF582B">
              <w:t> og H</w:t>
            </w:r>
            <w:r w:rsidRPr="00CF582B">
              <w:rPr>
                <w:vertAlign w:val="subscript"/>
              </w:rPr>
              <w:t>2</w:t>
            </w:r>
          </w:p>
        </w:tc>
      </w:tr>
    </w:tbl>
    <w:p w14:paraId="173B6784" w14:textId="160A1648" w:rsidR="00CF582B" w:rsidRDefault="00CF582B"/>
    <w:p w14:paraId="735E18B9" w14:textId="7EEA9FAE" w:rsidR="00CF582B" w:rsidRDefault="00CF582B">
      <w:r>
        <w:rPr>
          <w:noProof/>
        </w:rPr>
        <w:drawing>
          <wp:inline distT="0" distB="0" distL="0" distR="0" wp14:anchorId="09FCD764" wp14:editId="1F23245E">
            <wp:extent cx="6120130" cy="5852160"/>
            <wp:effectExtent l="0" t="0" r="0" b="0"/>
            <wp:docPr id="864663836" name="Billede 1" descr="Et billede, der indeholder tekst, diagram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63836" name="Billede 1" descr="Et billede, der indeholder tekst, diagram, Font/skrifttype, linje/række&#10;&#10;Indhold genereret af kunstig intelligens kan være forker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82B">
      <w:head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0C28" w14:textId="77777777" w:rsidR="00CF582B" w:rsidRDefault="00CF582B" w:rsidP="00CF582B">
      <w:pPr>
        <w:spacing w:after="0" w:line="240" w:lineRule="auto"/>
      </w:pPr>
      <w:r>
        <w:separator/>
      </w:r>
    </w:p>
  </w:endnote>
  <w:endnote w:type="continuationSeparator" w:id="0">
    <w:p w14:paraId="4A291DD1" w14:textId="77777777" w:rsidR="00CF582B" w:rsidRDefault="00CF582B" w:rsidP="00CF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6274" w14:textId="77777777" w:rsidR="00CF582B" w:rsidRDefault="00CF582B" w:rsidP="00CF582B">
      <w:pPr>
        <w:spacing w:after="0" w:line="240" w:lineRule="auto"/>
      </w:pPr>
      <w:r>
        <w:separator/>
      </w:r>
    </w:p>
  </w:footnote>
  <w:footnote w:type="continuationSeparator" w:id="0">
    <w:p w14:paraId="27D0543C" w14:textId="77777777" w:rsidR="00CF582B" w:rsidRDefault="00CF582B" w:rsidP="00CF582B">
      <w:pPr>
        <w:spacing w:after="0" w:line="240" w:lineRule="auto"/>
      </w:pPr>
      <w:r>
        <w:continuationSeparator/>
      </w:r>
    </w:p>
  </w:footnote>
  <w:footnote w:id="1">
    <w:p w14:paraId="27021B69" w14:textId="16E25999" w:rsidR="008F5725" w:rsidRDefault="008F5725">
      <w:pPr>
        <w:pStyle w:val="Fodnotetekst"/>
      </w:pPr>
      <w:r>
        <w:rPr>
          <w:rStyle w:val="Fodnotehenvisning"/>
        </w:rPr>
        <w:footnoteRef/>
      </w:r>
      <w:r>
        <w:t xml:space="preserve"> Lever uden ilt</w:t>
      </w:r>
    </w:p>
  </w:footnote>
  <w:footnote w:id="2">
    <w:p w14:paraId="3C59035A" w14:textId="0E6A576F" w:rsidR="008F5725" w:rsidRDefault="008F5725">
      <w:pPr>
        <w:pStyle w:val="Fodnotetekst"/>
      </w:pPr>
      <w:r>
        <w:rPr>
          <w:rStyle w:val="Fodnotehenvisning"/>
        </w:rPr>
        <w:footnoteRef/>
      </w:r>
      <w:r>
        <w:t xml:space="preserve"> Kan leve både med og uden ilt (fx gær)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87E9" w14:textId="6F9AE0E9" w:rsidR="00CF582B" w:rsidRDefault="00CF582B">
    <w:pPr>
      <w:pStyle w:val="Sidehoved"/>
    </w:pPr>
    <w:r>
      <w:t xml:space="preserve">NF-24-25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B"/>
    <w:rsid w:val="00047B64"/>
    <w:rsid w:val="002329A5"/>
    <w:rsid w:val="008F5725"/>
    <w:rsid w:val="00CF582B"/>
    <w:rsid w:val="00F0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39F1"/>
  <w15:chartTrackingRefBased/>
  <w15:docId w15:val="{58D17FC8-0FC2-4841-9F04-5DFBD5EE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5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5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5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5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5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8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58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58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58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58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58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58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58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58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5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58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58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F582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582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F5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582B"/>
  </w:style>
  <w:style w:type="paragraph" w:styleId="Sidefod">
    <w:name w:val="footer"/>
    <w:basedOn w:val="Normal"/>
    <w:link w:val="SidefodTegn"/>
    <w:uiPriority w:val="99"/>
    <w:unhideWhenUsed/>
    <w:rsid w:val="00CF5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582B"/>
  </w:style>
  <w:style w:type="paragraph" w:styleId="Fodnotetekst">
    <w:name w:val="footnote text"/>
    <w:basedOn w:val="Normal"/>
    <w:link w:val="FodnotetekstTegn"/>
    <w:uiPriority w:val="99"/>
    <w:semiHidden/>
    <w:unhideWhenUsed/>
    <w:rsid w:val="008F572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F572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F5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733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476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6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448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71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dk/vin" TargetMode="External"/><Relationship Id="rId13" Type="http://schemas.openxmlformats.org/officeDocument/2006/relationships/hyperlink" Target="https://lex.dk/ATP_-_adenosintrifosfat" TargetMode="External"/><Relationship Id="rId18" Type="http://schemas.openxmlformats.org/officeDocument/2006/relationships/hyperlink" Target="https://denstoredanske.lex.dk/Escherichia_col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lex.dk/fermentering" TargetMode="External"/><Relationship Id="rId12" Type="http://schemas.openxmlformats.org/officeDocument/2006/relationships/hyperlink" Target="https://lex.dk/insulin" TargetMode="External"/><Relationship Id="rId17" Type="http://schemas.openxmlformats.org/officeDocument/2006/relationships/hyperlink" Target="https://denstoredanske.lex.dk/Clostridi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x.dk/streptokokker" TargetMode="External"/><Relationship Id="rId20" Type="http://schemas.openxmlformats.org/officeDocument/2006/relationships/hyperlink" Target="https://denstoredanske.lex.dk/Enterobacteriacea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x.dk/bakterie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ex.dk/Saccharomy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x.dk/g%C3%A6r" TargetMode="External"/><Relationship Id="rId19" Type="http://schemas.openxmlformats.org/officeDocument/2006/relationships/hyperlink" Target="https://denstoredanske.lex.dk/Salmonel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x.dk/%C3%B8l" TargetMode="External"/><Relationship Id="rId14" Type="http://schemas.openxmlformats.org/officeDocument/2006/relationships/hyperlink" Target="https://lex.dk/NA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5EF76-6E02-4039-B7FA-8DD0430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Kristiansen (kk.cb - Uddannelsesleder - CB)</dc:creator>
  <cp:keywords/>
  <dc:description/>
  <cp:lastModifiedBy>Klaus Kristiansen (kk.cb - Uddannelsesleder - CB)</cp:lastModifiedBy>
  <cp:revision>1</cp:revision>
  <dcterms:created xsi:type="dcterms:W3CDTF">2025-02-05T08:02:00Z</dcterms:created>
  <dcterms:modified xsi:type="dcterms:W3CDTF">2025-02-05T08:16:00Z</dcterms:modified>
</cp:coreProperties>
</file>