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5C55" w14:textId="77777777" w:rsidR="00683B2D" w:rsidRPr="003A13FF" w:rsidRDefault="009743EE">
      <w:pPr>
        <w:rPr>
          <w:b/>
          <w:sz w:val="26"/>
          <w:szCs w:val="26"/>
        </w:rPr>
      </w:pPr>
      <w:r w:rsidRPr="003A13FF">
        <w:rPr>
          <w:b/>
          <w:sz w:val="26"/>
          <w:szCs w:val="26"/>
        </w:rPr>
        <w:t>Vejledning</w:t>
      </w:r>
      <w:r w:rsidRPr="003A13FF">
        <w:rPr>
          <w:b/>
          <w:sz w:val="26"/>
          <w:szCs w:val="26"/>
        </w:rPr>
        <w:tab/>
      </w:r>
      <w:r w:rsidRPr="003A13FF">
        <w:rPr>
          <w:b/>
          <w:sz w:val="26"/>
          <w:szCs w:val="26"/>
        </w:rPr>
        <w:tab/>
        <w:t>Øvelse med fordøjelsesenzymer: nedbrydning af fedt i piskefløde</w:t>
      </w:r>
    </w:p>
    <w:p w14:paraId="26F904AB" w14:textId="77777777" w:rsidR="009743EE" w:rsidRDefault="009743EE"/>
    <w:p w14:paraId="3A34DB27" w14:textId="77777777" w:rsidR="009743EE" w:rsidRPr="009860FB" w:rsidRDefault="009743EE" w:rsidP="009743EE">
      <w:pPr>
        <w:spacing w:after="0" w:line="312" w:lineRule="auto"/>
        <w:rPr>
          <w:rFonts w:eastAsia="Times New Roman" w:cstheme="minorHAnsi"/>
        </w:rPr>
      </w:pPr>
      <w:r w:rsidRPr="002D3339">
        <w:rPr>
          <w:rStyle w:val="Overskrift1Tegn"/>
        </w:rPr>
        <w:t>Formål:</w:t>
      </w:r>
      <w:r w:rsidRPr="000A4AF3">
        <w:rPr>
          <w:rFonts w:eastAsia="Times New Roman" w:cstheme="minorHAnsi"/>
          <w:sz w:val="20"/>
          <w:szCs w:val="20"/>
        </w:rPr>
        <w:t xml:space="preserve"> </w:t>
      </w:r>
      <w:r w:rsidRPr="000A4AF3">
        <w:rPr>
          <w:rFonts w:eastAsia="Times New Roman" w:cstheme="minorHAnsi"/>
          <w:sz w:val="20"/>
          <w:szCs w:val="20"/>
        </w:rPr>
        <w:br/>
      </w:r>
      <w:r w:rsidRPr="009860FB">
        <w:rPr>
          <w:rFonts w:eastAsia="Times New Roman" w:cstheme="minorHAnsi"/>
        </w:rPr>
        <w:t xml:space="preserve">At undersøge fedtstoffers nedbrydning </w:t>
      </w:r>
      <w:r w:rsidR="003A13FF" w:rsidRPr="009860FB">
        <w:rPr>
          <w:rFonts w:eastAsia="Times New Roman" w:cstheme="minorHAnsi"/>
        </w:rPr>
        <w:t xml:space="preserve">vha. enzymer </w:t>
      </w:r>
      <w:r w:rsidRPr="009860FB">
        <w:rPr>
          <w:rFonts w:eastAsia="Times New Roman" w:cstheme="minorHAnsi"/>
        </w:rPr>
        <w:t xml:space="preserve">samt </w:t>
      </w:r>
      <w:r w:rsidR="003A13FF" w:rsidRPr="009860FB">
        <w:rPr>
          <w:rFonts w:eastAsia="Times New Roman" w:cstheme="minorHAnsi"/>
        </w:rPr>
        <w:t xml:space="preserve">at undersøge, </w:t>
      </w:r>
      <w:r w:rsidRPr="009860FB">
        <w:rPr>
          <w:rFonts w:eastAsia="Times New Roman" w:cstheme="minorHAnsi"/>
        </w:rPr>
        <w:t xml:space="preserve">hvilken betydning galdesalte har for nedbrydningen. </w:t>
      </w:r>
    </w:p>
    <w:p w14:paraId="18C84881" w14:textId="77777777" w:rsidR="003A13FF" w:rsidRDefault="003A13FF" w:rsidP="009743EE">
      <w:pPr>
        <w:spacing w:after="0" w:line="312" w:lineRule="auto"/>
        <w:rPr>
          <w:rFonts w:eastAsia="Times New Roman" w:cstheme="minorHAnsi"/>
          <w:sz w:val="20"/>
          <w:szCs w:val="20"/>
        </w:rPr>
      </w:pPr>
    </w:p>
    <w:p w14:paraId="56922E77" w14:textId="77777777" w:rsidR="003A13FF" w:rsidRDefault="003A13FF" w:rsidP="00593217">
      <w:pPr>
        <w:pStyle w:val="Overskrift1"/>
        <w:rPr>
          <w:rFonts w:eastAsia="Times New Roman"/>
        </w:rPr>
      </w:pPr>
      <w:r>
        <w:rPr>
          <w:rFonts w:eastAsia="Times New Roman"/>
        </w:rPr>
        <w:t>Teori:</w:t>
      </w:r>
    </w:p>
    <w:p w14:paraId="410D6E83" w14:textId="77777777" w:rsidR="003A13FF" w:rsidRPr="009860FB" w:rsidRDefault="003A13FF" w:rsidP="009743EE">
      <w:pPr>
        <w:spacing w:after="0" w:line="312" w:lineRule="auto"/>
        <w:rPr>
          <w:rFonts w:eastAsia="Times New Roman" w:cstheme="minorHAnsi"/>
          <w:szCs w:val="20"/>
        </w:rPr>
      </w:pPr>
      <w:r w:rsidRPr="009860FB">
        <w:rPr>
          <w:rFonts w:eastAsia="Times New Roman" w:cstheme="minorHAnsi"/>
          <w:szCs w:val="20"/>
        </w:rPr>
        <w:t xml:space="preserve">Fedtstoffer (triglycerider) er opbygget af glycerol og </w:t>
      </w:r>
      <w:r w:rsidR="00EA6C7D">
        <w:rPr>
          <w:rFonts w:eastAsia="Times New Roman" w:cstheme="minorHAnsi"/>
          <w:szCs w:val="20"/>
        </w:rPr>
        <w:t xml:space="preserve">tre </w:t>
      </w:r>
      <w:r w:rsidRPr="009860FB">
        <w:rPr>
          <w:rFonts w:eastAsia="Times New Roman" w:cstheme="minorHAnsi"/>
          <w:szCs w:val="20"/>
        </w:rPr>
        <w:t xml:space="preserve">frie fedtsyrer. Før fedtstofferne kan udnyttes af mennesket, må de først fordøjes. I tolvfingertarmen bliver fedtet </w:t>
      </w:r>
      <w:r w:rsidRPr="009860FB">
        <w:rPr>
          <w:rFonts w:eastAsia="Times New Roman" w:cstheme="minorHAnsi"/>
          <w:b/>
          <w:szCs w:val="20"/>
        </w:rPr>
        <w:t>emulgeret</w:t>
      </w:r>
      <w:r w:rsidRPr="009860FB">
        <w:rPr>
          <w:rFonts w:eastAsia="Times New Roman" w:cstheme="minorHAnsi"/>
          <w:szCs w:val="20"/>
        </w:rPr>
        <w:t xml:space="preserve"> ved hjælp af galdesalte, det vil sige, at </w:t>
      </w:r>
      <w:r w:rsidRPr="009860FB">
        <w:rPr>
          <w:rFonts w:eastAsia="Times New Roman" w:cstheme="minorHAnsi"/>
          <w:b/>
          <w:szCs w:val="20"/>
        </w:rPr>
        <w:t>fedtstoffet fordeles jævnt i væsken</w:t>
      </w:r>
      <w:r w:rsidRPr="009860FB">
        <w:rPr>
          <w:rFonts w:eastAsia="Times New Roman" w:cstheme="minorHAnsi"/>
          <w:szCs w:val="20"/>
        </w:rPr>
        <w:t xml:space="preserve"> i tolvfingertarmen (Figur 1). Derefter nedbrydes fedtet ved hjælp af enzymer. Et af disse enzymer hedder lipase, og det udskilles fra bugspytkirtlen (pancreas).</w:t>
      </w:r>
    </w:p>
    <w:p w14:paraId="3B5564EB" w14:textId="77777777" w:rsidR="00593217" w:rsidRDefault="00593217" w:rsidP="009743EE">
      <w:pPr>
        <w:spacing w:after="0" w:line="312" w:lineRule="auto"/>
        <w:rPr>
          <w:rFonts w:eastAsia="Times New Roman" w:cstheme="minorHAnsi"/>
          <w:sz w:val="20"/>
          <w:szCs w:val="20"/>
        </w:rPr>
      </w:pPr>
    </w:p>
    <w:p w14:paraId="560D503B" w14:textId="77777777" w:rsidR="003A13FF" w:rsidRDefault="003A13FF" w:rsidP="003A13FF">
      <w:pPr>
        <w:keepNext/>
        <w:spacing w:after="0" w:line="312" w:lineRule="auto"/>
      </w:pPr>
      <w:r w:rsidRPr="000A4AF3">
        <w:rPr>
          <w:rFonts w:cstheme="minorHAnsi"/>
          <w:noProof/>
          <w:sz w:val="20"/>
          <w:szCs w:val="20"/>
        </w:rPr>
        <w:drawing>
          <wp:inline distT="0" distB="0" distL="0" distR="0" wp14:anchorId="05942E06" wp14:editId="20B64671">
            <wp:extent cx="6007100" cy="4841457"/>
            <wp:effectExtent l="0" t="0" r="0" b="0"/>
            <wp:docPr id="3" name="Billede 3" descr="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005" cy="48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BE80" w14:textId="752D74B9" w:rsidR="003A13FF" w:rsidRDefault="003A13FF" w:rsidP="003A13FF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1</w:t>
      </w:r>
      <w:r w:rsidR="00BA5356">
        <w:rPr>
          <w:noProof/>
        </w:rPr>
        <w:fldChar w:fldCharType="end"/>
      </w:r>
      <w:r>
        <w:t>.</w:t>
      </w:r>
      <w:r w:rsidRPr="00DB7431">
        <w:t xml:space="preserve"> Fedt, som er emulgeret vha. galdesalte, danner små kugler kaldet miceller. Miceller har en stor overflade, som gør det lettere for enzymet lipase at nedbryde fedtet</w:t>
      </w:r>
      <w:r>
        <w:t>.</w:t>
      </w:r>
    </w:p>
    <w:p w14:paraId="3E5810E3" w14:textId="77777777" w:rsidR="008D4240" w:rsidRDefault="00593217" w:rsidP="001B382B">
      <w:pPr>
        <w:keepNext/>
        <w:spacing w:line="312" w:lineRule="auto"/>
      </w:pPr>
      <w:r>
        <w:lastRenderedPageBreak/>
        <w:t>Det er galdesalte fra leveren, som opdeler (emulgerer) fedtstoffet i mindre dele, som lettere kan angribes af enzymerne fra bugspytkirtlen. Figur 2 viser, hvordan galdesaltene kan sætte sig fast og danne miceller.</w:t>
      </w:r>
    </w:p>
    <w:p w14:paraId="538CACE1" w14:textId="77777777" w:rsidR="00593217" w:rsidRDefault="00593217" w:rsidP="008D4240">
      <w:pPr>
        <w:keepNext/>
      </w:pPr>
    </w:p>
    <w:p w14:paraId="56D11A77" w14:textId="77777777" w:rsidR="007038F6" w:rsidRDefault="007038F6" w:rsidP="007038F6">
      <w:pPr>
        <w:keepNext/>
      </w:pPr>
      <w:r w:rsidRPr="000A4AF3">
        <w:rPr>
          <w:rFonts w:cstheme="minorHAnsi"/>
          <w:noProof/>
          <w:color w:val="4A4A4A"/>
          <w:sz w:val="17"/>
          <w:szCs w:val="17"/>
        </w:rPr>
        <w:drawing>
          <wp:inline distT="0" distB="0" distL="0" distR="0" wp14:anchorId="0BB9219D" wp14:editId="2061E107">
            <wp:extent cx="3832261" cy="2400052"/>
            <wp:effectExtent l="0" t="0" r="0" b="635"/>
            <wp:docPr id="2" name="Billede 2" descr="http://www.sundscience.dk/sund/fordoejelsen-af-fedt/emulsionaffedtdr-c3-a5b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dscience.dk/sund/fordoejelsen-af-fedt/emulsionaffedtdr-c3-a5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048" cy="24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12232" w14:textId="5BFAFD45" w:rsidR="007038F6" w:rsidRDefault="007038F6" w:rsidP="007038F6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2</w:t>
      </w:r>
      <w:r w:rsidR="00BA5356">
        <w:rPr>
          <w:noProof/>
        </w:rPr>
        <w:fldChar w:fldCharType="end"/>
      </w:r>
      <w:r>
        <w:t>. En vandskyende fedtklump angribes af galdesalte, som både har en fedtopløselig og en vandopløselig del. På den måde kan fedtklumpen opdeles i mindre fedtklumper, miceller, som adskilles af de vandopløselige dele</w:t>
      </w:r>
      <w:r w:rsidR="00593217">
        <w:t>.</w:t>
      </w:r>
    </w:p>
    <w:p w14:paraId="73B99F45" w14:textId="77777777" w:rsidR="00593217" w:rsidRDefault="00593217" w:rsidP="00593217">
      <w:pPr>
        <w:rPr>
          <w:lang w:eastAsia="da-DK"/>
        </w:rPr>
      </w:pPr>
    </w:p>
    <w:p w14:paraId="3320025E" w14:textId="77777777" w:rsidR="00593217" w:rsidRDefault="00593217" w:rsidP="001B382B">
      <w:pPr>
        <w:spacing w:line="312" w:lineRule="auto"/>
        <w:rPr>
          <w:lang w:eastAsia="da-DK"/>
        </w:rPr>
      </w:pPr>
      <w:r>
        <w:rPr>
          <w:lang w:eastAsia="da-DK"/>
        </w:rPr>
        <w:t xml:space="preserve">Figur 3 viser, at både galdesalte og enzymer – </w:t>
      </w:r>
      <w:r w:rsidR="009860FB">
        <w:rPr>
          <w:lang w:eastAsia="da-DK"/>
        </w:rPr>
        <w:t xml:space="preserve">i </w:t>
      </w:r>
      <w:r>
        <w:rPr>
          <w:lang w:eastAsia="da-DK"/>
        </w:rPr>
        <w:t>nævnte rækkefølge – er nødvendige for nedbrydning af fedt, mens Figur 4 viser strukturformlerne for fedtstoffet før og efter den enzymatiske nedbrydning.</w:t>
      </w:r>
    </w:p>
    <w:p w14:paraId="6E07A3FE" w14:textId="77777777" w:rsidR="00593217" w:rsidRPr="00593217" w:rsidRDefault="00593217" w:rsidP="00593217">
      <w:pPr>
        <w:rPr>
          <w:lang w:eastAsia="da-DK"/>
        </w:rPr>
      </w:pPr>
    </w:p>
    <w:p w14:paraId="362B2AEE" w14:textId="77777777" w:rsidR="007038F6" w:rsidRDefault="007038F6" w:rsidP="007038F6">
      <w:pPr>
        <w:rPr>
          <w:lang w:eastAsia="da-DK"/>
        </w:rPr>
      </w:pPr>
    </w:p>
    <w:p w14:paraId="311AB66B" w14:textId="77777777" w:rsidR="00593217" w:rsidRDefault="00593217" w:rsidP="007038F6">
      <w:pPr>
        <w:rPr>
          <w:lang w:eastAsia="da-DK"/>
        </w:rPr>
        <w:sectPr w:rsidR="00593217">
          <w:footerReference w:type="default" r:id="rId11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8D4E50F" w14:textId="77777777" w:rsidR="007038F6" w:rsidRDefault="007038F6" w:rsidP="00593217">
      <w:pPr>
        <w:spacing w:after="120"/>
        <w:rPr>
          <w:lang w:eastAsia="da-DK"/>
        </w:rPr>
      </w:pPr>
      <w:r w:rsidRPr="000A4AF3">
        <w:rPr>
          <w:rFonts w:cstheme="minorHAnsi"/>
          <w:noProof/>
        </w:rPr>
        <w:drawing>
          <wp:inline distT="0" distB="0" distL="0" distR="0" wp14:anchorId="59C580F1" wp14:editId="08F07479">
            <wp:extent cx="1914746" cy="2772000"/>
            <wp:effectExtent l="0" t="0" r="9525" b="0"/>
            <wp:docPr id="8" name="Billede 8" descr="http://peer.tamu.edu/curriculum_modules/OrganSystems/images/f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er.tamu.edu/curriculum_modules/OrganSystems/images/fa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46" cy="27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46783" w14:textId="68A76AB3" w:rsidR="007038F6" w:rsidRDefault="007038F6" w:rsidP="007038F6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3</w:t>
      </w:r>
      <w:r w:rsidR="00BA5356">
        <w:rPr>
          <w:noProof/>
        </w:rPr>
        <w:fldChar w:fldCharType="end"/>
      </w:r>
      <w:r>
        <w:t xml:space="preserve">. </w:t>
      </w:r>
      <w:r w:rsidRPr="00F44C30">
        <w:t>Her ses hvorledes en klump fedt først tilføres galdesalte (engelsk = bile)</w:t>
      </w:r>
      <w:r>
        <w:t>,</w:t>
      </w:r>
      <w:r w:rsidRPr="00F44C30">
        <w:t xml:space="preserve"> og herefter nedbrydes til</w:t>
      </w:r>
      <w:r w:rsidR="00133E47">
        <w:t xml:space="preserve">  </w:t>
      </w:r>
      <w:r w:rsidRPr="00F44C30">
        <w:t xml:space="preserve"> fedtsyrer vha. enzymer</w:t>
      </w:r>
      <w:r>
        <w:t>.</w:t>
      </w:r>
    </w:p>
    <w:p w14:paraId="08E3D81F" w14:textId="77777777" w:rsidR="008D4240" w:rsidRDefault="008D4240" w:rsidP="00593217">
      <w:pPr>
        <w:keepNext/>
        <w:spacing w:after="120"/>
      </w:pPr>
      <w:r w:rsidRPr="000A4AF3">
        <w:rPr>
          <w:rFonts w:cstheme="minorHAnsi"/>
          <w:noProof/>
        </w:rPr>
        <w:drawing>
          <wp:inline distT="0" distB="0" distL="0" distR="0" wp14:anchorId="0BB0EE0C" wp14:editId="02528D91">
            <wp:extent cx="2579914" cy="2771775"/>
            <wp:effectExtent l="0" t="0" r="0" b="0"/>
            <wp:docPr id="1" name="Billede 5" descr="http://www.biotechacademy.dk/upload/institutter/bic/sites/biotech%20academy/enzymer/hydrotriglycer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iotechacademy.dk/upload/institutter/bic/sites/biotech%20academy/enzymer/hydrotriglyceri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79" cy="278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6D456" w14:textId="5056D1CD" w:rsidR="008D4240" w:rsidRDefault="008D4240" w:rsidP="008D4240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4</w:t>
      </w:r>
      <w:r w:rsidR="00BA5356">
        <w:rPr>
          <w:noProof/>
        </w:rPr>
        <w:fldChar w:fldCharType="end"/>
      </w:r>
      <w:r>
        <w:t xml:space="preserve">. </w:t>
      </w:r>
      <w:r w:rsidRPr="00534373">
        <w:t>Nedbrydning af fedt</w:t>
      </w:r>
      <w:r w:rsidR="007038F6">
        <w:t>stoffet triglycerid</w:t>
      </w:r>
      <w:r w:rsidRPr="00534373">
        <w:t xml:space="preserve"> </w:t>
      </w:r>
      <w:r w:rsidR="007038F6">
        <w:t xml:space="preserve">sker under optag af vand og </w:t>
      </w:r>
      <w:r w:rsidR="00593217">
        <w:t>fører til dannelse af</w:t>
      </w:r>
      <w:r w:rsidR="007038F6">
        <w:t xml:space="preserve"> et monoglycerid og </w:t>
      </w:r>
      <w:r w:rsidR="00133E47">
        <w:t xml:space="preserve">   </w:t>
      </w:r>
      <w:r w:rsidR="007038F6">
        <w:t>to frie fedtsyrer.</w:t>
      </w:r>
    </w:p>
    <w:p w14:paraId="5D6CAE1F" w14:textId="77777777" w:rsidR="00593217" w:rsidRDefault="00593217" w:rsidP="008D4240">
      <w:pPr>
        <w:rPr>
          <w:lang w:eastAsia="da-DK"/>
        </w:rPr>
        <w:sectPr w:rsidR="00593217" w:rsidSect="0059321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D60D506" w14:textId="77777777" w:rsidR="008D4240" w:rsidRPr="009860FB" w:rsidRDefault="009860FB" w:rsidP="001B382B">
      <w:pPr>
        <w:spacing w:after="0" w:line="312" w:lineRule="auto"/>
        <w:rPr>
          <w:rFonts w:eastAsia="Times New Roman" w:cstheme="minorHAnsi"/>
          <w:bCs/>
        </w:rPr>
      </w:pPr>
      <w:r w:rsidRPr="009860FB">
        <w:rPr>
          <w:rFonts w:eastAsia="Times New Roman" w:cstheme="minorHAnsi"/>
          <w:bCs/>
        </w:rPr>
        <w:lastRenderedPageBreak/>
        <w:t>Vi anvender indikatorstoffet phenolrødt (Figur 5) til at vise, om fedtet er blevet nedbrudt.</w:t>
      </w:r>
      <w:r>
        <w:rPr>
          <w:rFonts w:eastAsia="Times New Roman" w:cstheme="minorHAnsi"/>
          <w:bCs/>
        </w:rPr>
        <w:t xml:space="preserve"> Phenolrødt er et stof, som skifter farve afhængigt af surhedsgraden (pH), se Figur 6. </w:t>
      </w:r>
      <w:r w:rsidR="008D4240" w:rsidRPr="009860FB">
        <w:rPr>
          <w:rFonts w:eastAsia="Times New Roman" w:cstheme="minorHAnsi"/>
          <w:bCs/>
        </w:rPr>
        <w:t>Når pH stiger (basisk opløsning), afgiver phenolrødt sine hydroner H</w:t>
      </w:r>
      <w:r w:rsidR="008D4240" w:rsidRPr="009860FB">
        <w:rPr>
          <w:rFonts w:eastAsia="Times New Roman" w:cstheme="minorHAnsi"/>
          <w:bCs/>
          <w:vertAlign w:val="superscript"/>
        </w:rPr>
        <w:t>+</w:t>
      </w:r>
      <w:r w:rsidR="008D4240" w:rsidRPr="009860FB">
        <w:rPr>
          <w:rFonts w:eastAsia="Times New Roman" w:cstheme="minorHAnsi"/>
          <w:bCs/>
        </w:rPr>
        <w:t>.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>Det vil sige, at stoffet (phenolrødt) opfører sig som en syre.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>Når stoffet har afgivet hydroner, får det farven rød.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>Hvis pH igen falder (sur opløsning), optager stoffet igen hydroner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>(det er nu en base), og stoffet bliver gult.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>Når lipase nedbryder triglycerid til monoglycerider og frie fedtsyrer,</w:t>
      </w:r>
      <w:r w:rsidR="00593217" w:rsidRPr="009860FB">
        <w:rPr>
          <w:rFonts w:eastAsia="Times New Roman" w:cstheme="minorHAnsi"/>
          <w:bCs/>
        </w:rPr>
        <w:t xml:space="preserve"> </w:t>
      </w:r>
      <w:r w:rsidR="008D4240" w:rsidRPr="009860FB">
        <w:rPr>
          <w:rFonts w:eastAsia="Times New Roman" w:cstheme="minorHAnsi"/>
          <w:bCs/>
        </w:rPr>
        <w:t xml:space="preserve">så falder pH, og stoffet </w:t>
      </w:r>
      <w:r w:rsidR="00593217" w:rsidRPr="009860FB">
        <w:rPr>
          <w:rFonts w:eastAsia="Times New Roman" w:cstheme="minorHAnsi"/>
          <w:bCs/>
        </w:rPr>
        <w:t xml:space="preserve">phenolrødt </w:t>
      </w:r>
      <w:r w:rsidR="008D4240" w:rsidRPr="009860FB">
        <w:rPr>
          <w:rFonts w:eastAsia="Times New Roman" w:cstheme="minorHAnsi"/>
          <w:bCs/>
        </w:rPr>
        <w:t>bliver gult.</w:t>
      </w:r>
    </w:p>
    <w:p w14:paraId="76D90105" w14:textId="77777777" w:rsidR="00593217" w:rsidRDefault="00593217" w:rsidP="00593217">
      <w:pPr>
        <w:spacing w:after="0" w:line="312" w:lineRule="auto"/>
        <w:rPr>
          <w:rFonts w:eastAsia="Times New Roman" w:cstheme="minorHAnsi"/>
          <w:bCs/>
          <w:sz w:val="20"/>
          <w:szCs w:val="20"/>
        </w:rPr>
      </w:pPr>
    </w:p>
    <w:p w14:paraId="7E0925B5" w14:textId="77777777" w:rsidR="008D4240" w:rsidRDefault="009860FB" w:rsidP="008D4240">
      <w:pPr>
        <w:keepNext/>
      </w:pPr>
      <w:r>
        <w:rPr>
          <w:noProof/>
        </w:rPr>
        <w:drawing>
          <wp:inline distT="0" distB="0" distL="0" distR="0" wp14:anchorId="76F178A4" wp14:editId="28AE33F3">
            <wp:extent cx="2835275" cy="2638505"/>
            <wp:effectExtent l="0" t="0" r="0" b="0"/>
            <wp:docPr id="10" name="Billede 10" descr="https://upload.wikimedia.org/wikipedia/commons/4/42/Phenol-red-zwitterionic-form-3D-ba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2/Phenol-red-zwitterionic-form-3D-ball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6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8B90" w14:textId="019DBB4C" w:rsidR="008D4240" w:rsidRDefault="008D4240" w:rsidP="008D4240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5</w:t>
      </w:r>
      <w:r w:rsidR="00BA5356">
        <w:rPr>
          <w:noProof/>
        </w:rPr>
        <w:fldChar w:fldCharType="end"/>
      </w:r>
      <w:r>
        <w:t xml:space="preserve">. </w:t>
      </w:r>
      <w:r w:rsidR="009860FB">
        <w:t xml:space="preserve">Molekylemodel af </w:t>
      </w:r>
      <w:r>
        <w:t>phenolrødt</w:t>
      </w:r>
      <w:r w:rsidR="009860FB">
        <w:t xml:space="preserve">, </w:t>
      </w:r>
      <w:r>
        <w:t>et indikatorstof.</w:t>
      </w:r>
      <w:r w:rsidR="00EA0DC2">
        <w:t xml:space="preserve"> Atomernes farvekode: sort = C, rød = O, hvid = H og gul = S.</w:t>
      </w:r>
    </w:p>
    <w:p w14:paraId="3D0EE210" w14:textId="77777777" w:rsidR="00593217" w:rsidRDefault="00593217" w:rsidP="008D4240">
      <w:pPr>
        <w:rPr>
          <w:lang w:eastAsia="da-DK"/>
        </w:rPr>
        <w:sectPr w:rsidR="00593217" w:rsidSect="0059321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7F0355FA" w14:textId="77777777" w:rsidR="008D4240" w:rsidRDefault="008D4240" w:rsidP="008D4240">
      <w:pPr>
        <w:rPr>
          <w:lang w:eastAsia="da-DK"/>
        </w:rPr>
      </w:pPr>
    </w:p>
    <w:p w14:paraId="3E0653AD" w14:textId="77777777" w:rsidR="009860FB" w:rsidRDefault="009860FB" w:rsidP="009860FB">
      <w:pPr>
        <w:keepNext/>
      </w:pPr>
      <w:r>
        <w:rPr>
          <w:noProof/>
          <w:lang w:val="en"/>
        </w:rPr>
        <w:drawing>
          <wp:inline distT="0" distB="0" distL="0" distR="0" wp14:anchorId="3E0BBB3B" wp14:editId="42E708B3">
            <wp:extent cx="3600450" cy="3304291"/>
            <wp:effectExtent l="0" t="0" r="0" b="0"/>
            <wp:docPr id="11" name="Billede 11" descr="https://upload.wikimedia.org/wikipedia/commons/thumb/0/09/Phenol_red_pH_6%2C0_-_8%2C0.jpg/1024px-Phenol_red_pH_6%2C0_-_8%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9/Phenol_red_pH_6%2C0_-_8%2C0.jpg/1024px-Phenol_red_pH_6%2C0_-_8%2C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139" cy="332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F76E" w14:textId="3D817AD8" w:rsidR="009860FB" w:rsidRDefault="009860FB" w:rsidP="009860FB">
      <w:pPr>
        <w:pStyle w:val="Billedtekst"/>
        <w:rPr>
          <w:lang w:val="en-US"/>
        </w:rPr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6</w:t>
      </w:r>
      <w:r w:rsidR="00BA5356">
        <w:rPr>
          <w:noProof/>
        </w:rPr>
        <w:fldChar w:fldCharType="end"/>
      </w:r>
      <w:r>
        <w:t xml:space="preserve">. Farven, som indikatorstoffet phenolrødt antager ved forskellige surhedsgrader (pH). </w:t>
      </w:r>
      <w:r w:rsidRPr="009860FB">
        <w:rPr>
          <w:lang w:val="en-US"/>
        </w:rPr>
        <w:t xml:space="preserve">Kilde: By Max </w:t>
      </w:r>
      <w:r w:rsidR="00D91F46">
        <w:rPr>
          <w:lang w:val="en-US"/>
        </w:rPr>
        <w:t>S</w:t>
      </w:r>
      <w:r w:rsidRPr="009860FB">
        <w:rPr>
          <w:lang w:val="en-US"/>
        </w:rPr>
        <w:t xml:space="preserve">chwalbe - Own work, CC BY-SA 4.0, </w:t>
      </w:r>
      <w:hyperlink r:id="rId16" w:history="1">
        <w:r w:rsidRPr="0046380C">
          <w:rPr>
            <w:rStyle w:val="Hyperlink"/>
            <w:lang w:val="en-US"/>
          </w:rPr>
          <w:t>https://commons.wikimedia.org/w/index.php?curid=39238574</w:t>
        </w:r>
      </w:hyperlink>
    </w:p>
    <w:p w14:paraId="0654F9CD" w14:textId="77777777" w:rsidR="009860FB" w:rsidRDefault="009860FB" w:rsidP="009860FB">
      <w:pPr>
        <w:rPr>
          <w:lang w:val="en-US" w:eastAsia="da-DK"/>
        </w:rPr>
      </w:pPr>
    </w:p>
    <w:p w14:paraId="04FFE1DA" w14:textId="77777777" w:rsidR="001B382B" w:rsidRPr="00BB442C" w:rsidRDefault="001B382B" w:rsidP="001B382B">
      <w:pPr>
        <w:pStyle w:val="Overskrift1"/>
      </w:pPr>
      <w:r w:rsidRPr="00BB442C">
        <w:t>Hypotese:</w:t>
      </w:r>
    </w:p>
    <w:p w14:paraId="67881A65" w14:textId="77777777" w:rsidR="001B382B" w:rsidRPr="001B382B" w:rsidRDefault="001B382B" w:rsidP="001B382B">
      <w:pPr>
        <w:spacing w:line="312" w:lineRule="auto"/>
        <w:rPr>
          <w:lang w:eastAsia="da-DK"/>
        </w:rPr>
      </w:pPr>
      <w:r>
        <w:rPr>
          <w:lang w:eastAsia="da-DK"/>
        </w:rPr>
        <w:t>(Læs resten af vejledningen og skriv så i dette afsnit, h</w:t>
      </w:r>
      <w:r w:rsidRPr="001B382B">
        <w:rPr>
          <w:lang w:eastAsia="da-DK"/>
        </w:rPr>
        <w:t xml:space="preserve">vad </w:t>
      </w:r>
      <w:r>
        <w:rPr>
          <w:lang w:eastAsia="da-DK"/>
        </w:rPr>
        <w:t xml:space="preserve">I </w:t>
      </w:r>
      <w:r w:rsidRPr="001B382B">
        <w:rPr>
          <w:lang w:eastAsia="da-DK"/>
        </w:rPr>
        <w:t>forventer, der v</w:t>
      </w:r>
      <w:r>
        <w:rPr>
          <w:lang w:eastAsia="da-DK"/>
        </w:rPr>
        <w:t>il ske i hvert af de tre glas – og hvorfor. Husk at hypoteser er jeres bedste, begrundede gæt på undersøgelsens resultater.)</w:t>
      </w:r>
    </w:p>
    <w:p w14:paraId="6B69895A" w14:textId="77777777" w:rsidR="008D4240" w:rsidRPr="008D4240" w:rsidRDefault="008D4240" w:rsidP="0075786A">
      <w:pPr>
        <w:pStyle w:val="Overskrift1"/>
      </w:pPr>
      <w:r w:rsidRPr="008D4240">
        <w:lastRenderedPageBreak/>
        <w:t>Materialer:</w:t>
      </w:r>
    </w:p>
    <w:p w14:paraId="4AC73AC7" w14:textId="77777777" w:rsidR="004970F5" w:rsidRPr="0075786A" w:rsidRDefault="004970F5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Tre reagensglas </w:t>
      </w:r>
      <w:r w:rsidR="0075786A" w:rsidRPr="0075786A">
        <w:rPr>
          <w:rFonts w:eastAsia="Times New Roman" w:cstheme="minorHAnsi"/>
        </w:rPr>
        <w:t>og et stativ pr. gruppe</w:t>
      </w:r>
    </w:p>
    <w:p w14:paraId="5826D283" w14:textId="77777777" w:rsidR="004970F5" w:rsidRPr="0075786A" w:rsidRDefault="004970F5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>Sprittusch</w:t>
      </w:r>
    </w:p>
    <w:p w14:paraId="6466CCD8" w14:textId="77777777" w:rsidR="004970F5" w:rsidRPr="0075786A" w:rsidRDefault="004970F5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>1 bægerglas à 100 mL</w:t>
      </w:r>
      <w:r w:rsidR="002E5C5B" w:rsidRPr="0075786A">
        <w:rPr>
          <w:rFonts w:eastAsia="Times New Roman" w:cstheme="minorHAnsi"/>
        </w:rPr>
        <w:t xml:space="preserve"> til hver gruppe</w:t>
      </w:r>
    </w:p>
    <w:p w14:paraId="56CD71D4" w14:textId="77777777" w:rsidR="004970F5" w:rsidRPr="0075786A" w:rsidRDefault="008D4240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>Frisk piskefløde 38% fedt</w:t>
      </w:r>
      <w:r w:rsidR="004970F5" w:rsidRPr="0075786A">
        <w:rPr>
          <w:rStyle w:val="Fodnotehenvisning"/>
          <w:rFonts w:eastAsia="Times New Roman" w:cstheme="minorHAnsi"/>
        </w:rPr>
        <w:footnoteReference w:id="1"/>
      </w:r>
      <w:r w:rsidRPr="0075786A">
        <w:rPr>
          <w:rFonts w:eastAsia="Times New Roman" w:cstheme="minorHAnsi"/>
        </w:rPr>
        <w:t xml:space="preserve"> </w:t>
      </w:r>
      <w:r w:rsidR="002E5C5B" w:rsidRPr="0075786A">
        <w:rPr>
          <w:rFonts w:eastAsia="Times New Roman" w:cstheme="minorHAnsi"/>
        </w:rPr>
        <w:t xml:space="preserve">(30 mL til hver gruppe ud af 250 mL i </w:t>
      </w:r>
      <w:r w:rsidR="0075786A" w:rsidRPr="0075786A">
        <w:rPr>
          <w:rFonts w:eastAsia="Times New Roman" w:cstheme="minorHAnsi"/>
        </w:rPr>
        <w:t xml:space="preserve">en </w:t>
      </w:r>
      <w:r w:rsidR="002E5C5B" w:rsidRPr="0075786A">
        <w:rPr>
          <w:rFonts w:eastAsia="Times New Roman" w:cstheme="minorHAnsi"/>
        </w:rPr>
        <w:t>¼ piske)</w:t>
      </w:r>
    </w:p>
    <w:p w14:paraId="2294B96B" w14:textId="77777777" w:rsidR="004970F5" w:rsidRPr="0075786A" w:rsidRDefault="004970F5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Phenolrødt-opløsning </w:t>
      </w:r>
    </w:p>
    <w:p w14:paraId="3E9A0AD3" w14:textId="77777777" w:rsidR="004970F5" w:rsidRPr="0075786A" w:rsidRDefault="004970F5" w:rsidP="004970F5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Pipetter </w:t>
      </w:r>
      <w:r w:rsidR="00BB442C">
        <w:rPr>
          <w:rFonts w:eastAsia="Times New Roman" w:cstheme="minorHAnsi"/>
        </w:rPr>
        <w:t>og/eller måleglas</w:t>
      </w:r>
      <w:r w:rsidRPr="0075786A">
        <w:rPr>
          <w:rFonts w:eastAsia="Times New Roman" w:cstheme="minorHAnsi"/>
        </w:rPr>
        <w:br/>
        <w:t>0,1 M NaOH opløsning (NaOH er en base</w:t>
      </w:r>
      <w:r w:rsidR="002E5C5B" w:rsidRPr="0075786A">
        <w:rPr>
          <w:rFonts w:eastAsia="Times New Roman" w:cstheme="minorHAnsi"/>
        </w:rPr>
        <w:t>, test evt. med pH-papir</w:t>
      </w:r>
      <w:r w:rsidRPr="0075786A">
        <w:rPr>
          <w:rFonts w:eastAsia="Times New Roman" w:cstheme="minorHAnsi"/>
        </w:rPr>
        <w:t>)</w:t>
      </w:r>
    </w:p>
    <w:p w14:paraId="369E0909" w14:textId="77777777" w:rsidR="008D4240" w:rsidRPr="0075786A" w:rsidRDefault="004970F5" w:rsidP="008D4240">
      <w:pPr>
        <w:spacing w:after="0"/>
        <w:rPr>
          <w:rFonts w:eastAsia="Times New Roman" w:cstheme="minorHAnsi"/>
        </w:rPr>
      </w:pPr>
      <w:r w:rsidRPr="0075786A">
        <w:rPr>
          <w:rFonts w:eastAsia="Times New Roman" w:cstheme="minorHAnsi"/>
        </w:rPr>
        <w:t>Vand (fra hanen)</w:t>
      </w:r>
      <w:r w:rsidR="008D4240" w:rsidRPr="0075786A">
        <w:rPr>
          <w:rFonts w:eastAsia="Times New Roman" w:cstheme="minorHAnsi"/>
        </w:rPr>
        <w:br/>
        <w:t>Galdesalt</w:t>
      </w:r>
      <w:r w:rsidR="00E7339D" w:rsidRPr="0075786A">
        <w:rPr>
          <w:rFonts w:eastAsia="Times New Roman" w:cstheme="minorHAnsi"/>
        </w:rPr>
        <w:t>e</w:t>
      </w:r>
      <w:r w:rsidR="002E5C5B" w:rsidRPr="0075786A">
        <w:rPr>
          <w:rFonts w:eastAsia="Times New Roman" w:cstheme="minorHAnsi"/>
        </w:rPr>
        <w:t xml:space="preserve"> </w:t>
      </w:r>
      <w:r w:rsidR="008D4240" w:rsidRPr="0075786A">
        <w:rPr>
          <w:rFonts w:eastAsia="Times New Roman" w:cstheme="minorHAnsi"/>
        </w:rPr>
        <w:t xml:space="preserve">– </w:t>
      </w:r>
      <w:r w:rsidR="002E5C5B" w:rsidRPr="0075786A">
        <w:rPr>
          <w:rFonts w:eastAsia="Times New Roman" w:cstheme="minorHAnsi"/>
        </w:rPr>
        <w:t xml:space="preserve">hver gruppe skal bruge </w:t>
      </w:r>
      <w:r w:rsidR="008D4240" w:rsidRPr="0075786A">
        <w:rPr>
          <w:rFonts w:eastAsia="Times New Roman" w:cstheme="minorHAnsi"/>
        </w:rPr>
        <w:t>en mængde svarende til det, der kan ligge på spidsen af en tændstik!</w:t>
      </w:r>
      <w:r w:rsidR="008D4240" w:rsidRPr="0075786A">
        <w:rPr>
          <w:rFonts w:eastAsia="Times New Roman" w:cstheme="minorHAnsi"/>
        </w:rPr>
        <w:br/>
      </w:r>
      <w:r w:rsidRPr="0075786A">
        <w:rPr>
          <w:rFonts w:eastAsia="Times New Roman" w:cstheme="minorHAnsi"/>
        </w:rPr>
        <w:t>”Lipase” = f</w:t>
      </w:r>
      <w:r w:rsidR="008D4240" w:rsidRPr="0075786A">
        <w:rPr>
          <w:rFonts w:eastAsia="Times New Roman" w:cstheme="minorHAnsi"/>
        </w:rPr>
        <w:t>risk pancreatin-opløsning (ca. 1 g i 100 ml vand</w:t>
      </w:r>
      <w:r w:rsidRPr="0075786A">
        <w:rPr>
          <w:rFonts w:eastAsia="Times New Roman" w:cstheme="minorHAnsi"/>
        </w:rPr>
        <w:t>)</w:t>
      </w:r>
      <w:r w:rsidR="008D4240" w:rsidRPr="0075786A">
        <w:rPr>
          <w:rFonts w:eastAsia="Times New Roman" w:cstheme="minorHAnsi"/>
        </w:rPr>
        <w:t xml:space="preserve"> </w:t>
      </w:r>
      <w:r w:rsidR="002E5C5B" w:rsidRPr="0075786A">
        <w:rPr>
          <w:rFonts w:eastAsia="Times New Roman" w:cstheme="minorHAnsi"/>
        </w:rPr>
        <w:t>– denne mængde rækker til en hel klasse!</w:t>
      </w:r>
    </w:p>
    <w:p w14:paraId="67CD6393" w14:textId="77777777" w:rsidR="0075786A" w:rsidRPr="0075786A" w:rsidRDefault="0075786A" w:rsidP="008D4240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Mobiltelefon med ur og kamera</w:t>
      </w:r>
    </w:p>
    <w:p w14:paraId="4D71FF47" w14:textId="77777777" w:rsidR="008D4240" w:rsidRPr="0075786A" w:rsidRDefault="008D4240" w:rsidP="0075786A">
      <w:pPr>
        <w:spacing w:after="0"/>
        <w:rPr>
          <w:lang w:eastAsia="da-DK"/>
        </w:rPr>
      </w:pPr>
      <w:r w:rsidRPr="0075786A">
        <w:rPr>
          <w:lang w:eastAsia="da-DK"/>
        </w:rPr>
        <w:t>pH-papir</w:t>
      </w:r>
      <w:r w:rsidR="0075786A" w:rsidRPr="0075786A">
        <w:rPr>
          <w:lang w:eastAsia="da-DK"/>
        </w:rPr>
        <w:t xml:space="preserve"> / universal-indikatorpapir</w:t>
      </w:r>
    </w:p>
    <w:p w14:paraId="295B30D1" w14:textId="77777777" w:rsidR="009D65CD" w:rsidRDefault="009D65CD" w:rsidP="008D4240">
      <w:pPr>
        <w:rPr>
          <w:lang w:eastAsia="da-DK"/>
        </w:rPr>
      </w:pPr>
    </w:p>
    <w:p w14:paraId="2A6C9C97" w14:textId="77777777" w:rsidR="009D65CD" w:rsidRDefault="009D65CD" w:rsidP="0075786A">
      <w:pPr>
        <w:pStyle w:val="Overskrift1"/>
      </w:pPr>
      <w:r>
        <w:t>Metode (fremgangsmåde):</w:t>
      </w:r>
    </w:p>
    <w:p w14:paraId="23C01E74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Mærk tre reagensglas 1, 2 og 3 med en sprittusch</w:t>
      </w:r>
      <w:r w:rsidR="00EA64BD">
        <w:rPr>
          <w:rFonts w:eastAsia="Times New Roman" w:cstheme="minorHAnsi"/>
        </w:rPr>
        <w:t xml:space="preserve"> og sæt dem i stativet</w:t>
      </w:r>
      <w:r w:rsidRPr="0075786A">
        <w:rPr>
          <w:rFonts w:eastAsia="Times New Roman" w:cstheme="minorHAnsi"/>
        </w:rPr>
        <w:t>.</w:t>
      </w:r>
    </w:p>
    <w:p w14:paraId="1C5D1A90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Hæld 30 ml frisk fløde (må ikke være homogeniseret) i </w:t>
      </w:r>
      <w:r w:rsidR="00A26F63">
        <w:rPr>
          <w:rFonts w:eastAsia="Times New Roman" w:cstheme="minorHAnsi"/>
        </w:rPr>
        <w:t xml:space="preserve">et </w:t>
      </w:r>
      <w:r w:rsidRPr="0075786A">
        <w:rPr>
          <w:rFonts w:eastAsia="Times New Roman" w:cstheme="minorHAnsi"/>
        </w:rPr>
        <w:t xml:space="preserve">100 mL bægerglas. </w:t>
      </w:r>
    </w:p>
    <w:p w14:paraId="3AD0D8A9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Tilsæt 30 dråber phenolrødt-opløsning til fløden. </w:t>
      </w:r>
    </w:p>
    <w:p w14:paraId="791496C5" w14:textId="77777777" w:rsidR="00A40581" w:rsidRDefault="00A40581" w:rsidP="0075786A">
      <w:pPr>
        <w:pStyle w:val="Listeafsnit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Hvis farven ikke er lyserød, tilsættes NaOH-opløsning dråbevis</w:t>
      </w:r>
      <w:r w:rsidR="002E5C5B" w:rsidRPr="0075786A">
        <w:rPr>
          <w:rFonts w:eastAsia="Times New Roman" w:cstheme="minorHAnsi"/>
        </w:rPr>
        <w:t>,</w:t>
      </w:r>
      <w:r w:rsidRPr="0075786A">
        <w:rPr>
          <w:rFonts w:eastAsia="Times New Roman" w:cstheme="minorHAnsi"/>
        </w:rPr>
        <w:t xml:space="preserve"> til farven skifter</w:t>
      </w:r>
      <w:r w:rsidR="00926CB2" w:rsidRPr="0075786A">
        <w:rPr>
          <w:rFonts w:eastAsia="Times New Roman" w:cstheme="minorHAnsi"/>
        </w:rPr>
        <w:t xml:space="preserve"> til lyserød</w:t>
      </w:r>
      <w:r w:rsidRPr="0075786A">
        <w:rPr>
          <w:rFonts w:eastAsia="Times New Roman" w:cstheme="minorHAnsi"/>
        </w:rPr>
        <w:t xml:space="preserve">. Tæl </w:t>
      </w:r>
      <w:r w:rsidR="00926CB2" w:rsidRPr="0075786A">
        <w:rPr>
          <w:rFonts w:eastAsia="Times New Roman" w:cstheme="minorHAnsi"/>
        </w:rPr>
        <w:t xml:space="preserve">og noter </w:t>
      </w:r>
      <w:r w:rsidRPr="0075786A">
        <w:rPr>
          <w:rFonts w:eastAsia="Times New Roman" w:cstheme="minorHAnsi"/>
        </w:rPr>
        <w:t>hvor mange dråber der tilsættes!</w:t>
      </w:r>
      <w:r w:rsidRPr="0075786A">
        <w:rPr>
          <w:rStyle w:val="Fodnotehenvisning"/>
          <w:rFonts w:eastAsia="Times New Roman" w:cstheme="minorHAnsi"/>
        </w:rPr>
        <w:footnoteReference w:id="2"/>
      </w:r>
    </w:p>
    <w:p w14:paraId="25E8F96E" w14:textId="77777777" w:rsidR="0075786A" w:rsidRPr="0075786A" w:rsidRDefault="0075786A" w:rsidP="0075786A">
      <w:pPr>
        <w:pStyle w:val="Listeafsnit"/>
        <w:spacing w:after="0" w:line="240" w:lineRule="auto"/>
        <w:rPr>
          <w:rFonts w:eastAsia="Times New Roman" w:cstheme="minorHAnsi"/>
        </w:rPr>
      </w:pPr>
    </w:p>
    <w:p w14:paraId="75B5C028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Hæld den lyserøde fløde op i reagensglassene. Glassene skal være fyldt en 1/3 op. </w:t>
      </w:r>
    </w:p>
    <w:p w14:paraId="5899BE82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Glas 1 tilsættes derefter 2,5 ml vand og en smule galdesalt</w:t>
      </w:r>
      <w:r w:rsidR="00E7339D" w:rsidRPr="0075786A">
        <w:rPr>
          <w:rFonts w:eastAsia="Times New Roman" w:cstheme="minorHAnsi"/>
        </w:rPr>
        <w:t>e</w:t>
      </w:r>
      <w:r w:rsidRPr="0075786A">
        <w:rPr>
          <w:rFonts w:eastAsia="Times New Roman" w:cstheme="minorHAnsi"/>
        </w:rPr>
        <w:t xml:space="preserve"> (brug spidsen af en tændstik). </w:t>
      </w:r>
    </w:p>
    <w:p w14:paraId="1D2E645C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Glas 2 tilsættes en smule galdesalt</w:t>
      </w:r>
      <w:r w:rsidR="00E7339D" w:rsidRPr="0075786A">
        <w:rPr>
          <w:rFonts w:eastAsia="Times New Roman" w:cstheme="minorHAnsi"/>
        </w:rPr>
        <w:t>e</w:t>
      </w:r>
      <w:r w:rsidRPr="0075786A">
        <w:rPr>
          <w:rFonts w:eastAsia="Times New Roman" w:cstheme="minorHAnsi"/>
        </w:rPr>
        <w:t xml:space="preserve"> og 2,5 ml lipase.</w:t>
      </w:r>
    </w:p>
    <w:p w14:paraId="17CCDCD0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Glas 3 tilsættes 2,5 ml lipase.</w:t>
      </w:r>
    </w:p>
    <w:p w14:paraId="293FE4AA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Ryst alle glas grundigt, </w:t>
      </w:r>
      <w:r w:rsidR="004970F5" w:rsidRPr="0075786A">
        <w:rPr>
          <w:rFonts w:eastAsia="Times New Roman" w:cstheme="minorHAnsi"/>
        </w:rPr>
        <w:t xml:space="preserve">men uden at lave smør, </w:t>
      </w:r>
      <w:r w:rsidRPr="0075786A">
        <w:rPr>
          <w:rFonts w:eastAsia="Times New Roman" w:cstheme="minorHAnsi"/>
        </w:rPr>
        <w:t>og noter tiden</w:t>
      </w:r>
      <w:r w:rsidR="004970F5" w:rsidRPr="0075786A">
        <w:rPr>
          <w:rFonts w:eastAsia="Times New Roman" w:cstheme="minorHAnsi"/>
        </w:rPr>
        <w:t xml:space="preserve"> = forsøgets start</w:t>
      </w:r>
      <w:r w:rsidR="002E5C5B" w:rsidRPr="0075786A">
        <w:rPr>
          <w:rFonts w:eastAsia="Times New Roman" w:cstheme="minorHAnsi"/>
        </w:rPr>
        <w:t xml:space="preserve"> (se Figur </w:t>
      </w:r>
      <w:r w:rsidR="0075786A">
        <w:rPr>
          <w:rFonts w:eastAsia="Times New Roman" w:cstheme="minorHAnsi"/>
        </w:rPr>
        <w:t>7</w:t>
      </w:r>
      <w:r w:rsidR="002E5C5B" w:rsidRPr="0075786A">
        <w:rPr>
          <w:rFonts w:eastAsia="Times New Roman" w:cstheme="minorHAnsi"/>
        </w:rPr>
        <w:t>).</w:t>
      </w:r>
    </w:p>
    <w:p w14:paraId="13342414" w14:textId="77777777" w:rsidR="00A40581" w:rsidRPr="0075786A" w:rsidRDefault="00A40581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Hold øje med glassene og noter tiden for farveskift</w:t>
      </w:r>
      <w:r w:rsidR="002E5C5B" w:rsidRPr="0075786A">
        <w:rPr>
          <w:rFonts w:eastAsia="Times New Roman" w:cstheme="minorHAnsi"/>
        </w:rPr>
        <w:t xml:space="preserve"> (se Figur </w:t>
      </w:r>
      <w:r w:rsidR="0075786A">
        <w:rPr>
          <w:rFonts w:eastAsia="Times New Roman" w:cstheme="minorHAnsi"/>
        </w:rPr>
        <w:t>8</w:t>
      </w:r>
      <w:r w:rsidR="002E5C5B" w:rsidRPr="0075786A">
        <w:rPr>
          <w:rFonts w:eastAsia="Times New Roman" w:cstheme="minorHAnsi"/>
        </w:rPr>
        <w:t>)</w:t>
      </w:r>
      <w:r w:rsidR="004970F5" w:rsidRPr="0075786A">
        <w:rPr>
          <w:rFonts w:eastAsia="Times New Roman" w:cstheme="minorHAnsi"/>
        </w:rPr>
        <w:t xml:space="preserve"> = forsøgets slutning</w:t>
      </w:r>
      <w:r w:rsidRPr="0075786A">
        <w:rPr>
          <w:rFonts w:eastAsia="Times New Roman" w:cstheme="minorHAnsi"/>
        </w:rPr>
        <w:t>.</w:t>
      </w:r>
      <w:r w:rsidR="004970F5" w:rsidRPr="0075786A">
        <w:rPr>
          <w:rStyle w:val="Fodnotehenvisning"/>
          <w:rFonts w:eastAsia="Times New Roman" w:cstheme="minorHAnsi"/>
        </w:rPr>
        <w:footnoteReference w:id="3"/>
      </w:r>
      <w:r w:rsidRPr="0075786A">
        <w:rPr>
          <w:rFonts w:eastAsia="Times New Roman" w:cstheme="minorHAnsi"/>
        </w:rPr>
        <w:t xml:space="preserve"> </w:t>
      </w:r>
    </w:p>
    <w:p w14:paraId="5258D055" w14:textId="77777777" w:rsidR="00A40581" w:rsidRDefault="00A40581" w:rsidP="0075786A">
      <w:pPr>
        <w:pStyle w:val="Listeafsnit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 xml:space="preserve">Tag et billede af forsøget, som I kan placere i jeres </w:t>
      </w:r>
      <w:r w:rsidR="004970F5" w:rsidRPr="0075786A">
        <w:rPr>
          <w:rFonts w:eastAsia="Times New Roman" w:cstheme="minorHAnsi"/>
        </w:rPr>
        <w:t>journal</w:t>
      </w:r>
      <w:r w:rsidRPr="0075786A">
        <w:rPr>
          <w:rFonts w:eastAsia="Times New Roman" w:cstheme="minorHAnsi"/>
        </w:rPr>
        <w:t>. Tag foto</w:t>
      </w:r>
      <w:r w:rsidR="004970F5" w:rsidRPr="0075786A">
        <w:rPr>
          <w:rFonts w:eastAsia="Times New Roman" w:cstheme="minorHAnsi"/>
        </w:rPr>
        <w:t>et,</w:t>
      </w:r>
      <w:r w:rsidRPr="0075786A">
        <w:rPr>
          <w:rFonts w:eastAsia="Times New Roman" w:cstheme="minorHAnsi"/>
        </w:rPr>
        <w:t xml:space="preserve"> når væsken i det ene glas er gul</w:t>
      </w:r>
      <w:r w:rsidR="004970F5" w:rsidRPr="0075786A">
        <w:rPr>
          <w:rFonts w:eastAsia="Times New Roman" w:cstheme="minorHAnsi"/>
        </w:rPr>
        <w:t xml:space="preserve">, </w:t>
      </w:r>
      <w:r w:rsidRPr="0075786A">
        <w:rPr>
          <w:rFonts w:eastAsia="Times New Roman" w:cstheme="minorHAnsi"/>
        </w:rPr>
        <w:t xml:space="preserve">og væsken i det andet glas er orange. </w:t>
      </w:r>
    </w:p>
    <w:p w14:paraId="343D2825" w14:textId="77777777" w:rsidR="0075786A" w:rsidRPr="0075786A" w:rsidRDefault="0075786A" w:rsidP="0075786A">
      <w:pPr>
        <w:pStyle w:val="Listeafsnit"/>
        <w:spacing w:after="0" w:line="240" w:lineRule="auto"/>
        <w:rPr>
          <w:rFonts w:eastAsia="Times New Roman" w:cstheme="minorHAnsi"/>
        </w:rPr>
      </w:pPr>
    </w:p>
    <w:p w14:paraId="2939D00F" w14:textId="77777777" w:rsidR="009318AA" w:rsidRPr="0075786A" w:rsidRDefault="009318AA" w:rsidP="00A40581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</w:rPr>
      </w:pPr>
      <w:r w:rsidRPr="0075786A">
        <w:rPr>
          <w:rFonts w:eastAsia="Times New Roman" w:cstheme="minorHAnsi"/>
        </w:rPr>
        <w:t>Mål surhedsgraden (pH) ved hjælp af indikatorpapir (pH-papir) i hvert glas.</w:t>
      </w:r>
    </w:p>
    <w:p w14:paraId="29EFA744" w14:textId="77777777" w:rsidR="009D65CD" w:rsidRPr="0075786A" w:rsidRDefault="004970F5" w:rsidP="008D4240">
      <w:pPr>
        <w:pStyle w:val="Listeafsnit"/>
        <w:numPr>
          <w:ilvl w:val="0"/>
          <w:numId w:val="2"/>
        </w:numPr>
        <w:spacing w:after="0" w:line="480" w:lineRule="auto"/>
        <w:rPr>
          <w:rFonts w:eastAsia="Times New Roman" w:cstheme="minorHAnsi"/>
          <w:szCs w:val="20"/>
        </w:rPr>
      </w:pPr>
      <w:r w:rsidRPr="0075786A">
        <w:rPr>
          <w:rFonts w:eastAsia="Times New Roman" w:cstheme="minorHAnsi"/>
          <w:szCs w:val="20"/>
        </w:rPr>
        <w:t>Ryd op efter forsøget, vask op, sæt på plads og tør bordet af.</w:t>
      </w:r>
    </w:p>
    <w:p w14:paraId="69F0B10B" w14:textId="77777777" w:rsidR="009860FB" w:rsidRDefault="009860FB" w:rsidP="009860FB">
      <w:pPr>
        <w:keepNext/>
        <w:spacing w:after="0" w:line="480" w:lineRule="auto"/>
        <w:sectPr w:rsidR="009860FB" w:rsidSect="00593217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1C4EEED" w14:textId="77777777" w:rsidR="009860FB" w:rsidRDefault="009860FB" w:rsidP="004970F5">
      <w:pPr>
        <w:spacing w:after="0" w:line="480" w:lineRule="auto"/>
        <w:rPr>
          <w:rFonts w:eastAsia="Times New Roman" w:cstheme="minorHAnsi"/>
          <w:sz w:val="20"/>
          <w:szCs w:val="20"/>
        </w:rPr>
        <w:sectPr w:rsidR="009860FB" w:rsidSect="009860FB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B0EE493" w14:textId="77777777" w:rsidR="002E5C5B" w:rsidRDefault="002E5C5B" w:rsidP="0075786A">
      <w:pPr>
        <w:pStyle w:val="Overskrift1"/>
        <w:rPr>
          <w:rFonts w:eastAsia="Times New Roman"/>
        </w:rPr>
      </w:pPr>
      <w:r>
        <w:rPr>
          <w:rFonts w:eastAsia="Times New Roman"/>
        </w:rPr>
        <w:lastRenderedPageBreak/>
        <w:t>Resultater:</w:t>
      </w:r>
    </w:p>
    <w:p w14:paraId="55639326" w14:textId="77777777" w:rsidR="00886165" w:rsidRDefault="00886165" w:rsidP="001B382B">
      <w:pPr>
        <w:spacing w:after="0" w:line="312" w:lineRule="auto"/>
        <w:rPr>
          <w:rFonts w:eastAsia="Times New Roman" w:cstheme="minorHAnsi"/>
          <w:szCs w:val="20"/>
        </w:rPr>
        <w:sectPr w:rsidR="00886165" w:rsidSect="00593217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810F809" w14:textId="77777777" w:rsidR="002E5C5B" w:rsidRDefault="00926CB2" w:rsidP="001B382B">
      <w:pPr>
        <w:spacing w:after="0" w:line="312" w:lineRule="auto"/>
        <w:rPr>
          <w:rFonts w:eastAsia="Times New Roman" w:cstheme="minorHAnsi"/>
          <w:szCs w:val="20"/>
        </w:rPr>
      </w:pPr>
      <w:r w:rsidRPr="0075786A">
        <w:rPr>
          <w:rFonts w:eastAsia="Times New Roman" w:cstheme="minorHAnsi"/>
          <w:szCs w:val="20"/>
        </w:rPr>
        <w:t>MENS I LAVER FORSØGET:</w:t>
      </w:r>
      <w:r w:rsidR="001B382B">
        <w:rPr>
          <w:rFonts w:eastAsia="Times New Roman" w:cstheme="minorHAnsi"/>
          <w:szCs w:val="20"/>
        </w:rPr>
        <w:t xml:space="preserve"> </w:t>
      </w:r>
      <w:r w:rsidRPr="0075786A">
        <w:rPr>
          <w:rFonts w:eastAsia="Times New Roman" w:cstheme="minorHAnsi"/>
          <w:szCs w:val="20"/>
        </w:rPr>
        <w:t>Noter hvor mange dråber NaOH I tilsatte for at få forsøgsvæsken (piskefløde og phenolrødt) farvet lyserød.</w:t>
      </w:r>
      <w:r w:rsidR="001B382B">
        <w:rPr>
          <w:rFonts w:eastAsia="Times New Roman" w:cstheme="minorHAnsi"/>
          <w:szCs w:val="20"/>
        </w:rPr>
        <w:t xml:space="preserve"> </w:t>
      </w:r>
      <w:r w:rsidRPr="0075786A">
        <w:rPr>
          <w:rFonts w:eastAsia="Times New Roman" w:cstheme="minorHAnsi"/>
          <w:szCs w:val="20"/>
        </w:rPr>
        <w:t>Noter hvor lang tid det tog, før væsken i glassene skiftede farve fra lyserød til en anden farve.</w:t>
      </w:r>
      <w:r w:rsidR="001B382B">
        <w:rPr>
          <w:rFonts w:eastAsia="Times New Roman" w:cstheme="minorHAnsi"/>
          <w:szCs w:val="20"/>
        </w:rPr>
        <w:t xml:space="preserve"> </w:t>
      </w:r>
      <w:r w:rsidR="002E5C5B" w:rsidRPr="0075786A">
        <w:rPr>
          <w:rFonts w:eastAsia="Times New Roman" w:cstheme="minorHAnsi"/>
          <w:szCs w:val="20"/>
        </w:rPr>
        <w:t>Indsæt et før- og et efter-foto af alle tre glas og husk at forsyne hvert foto med figurnummer og figurtekst.</w:t>
      </w:r>
      <w:r w:rsidR="001B382B">
        <w:rPr>
          <w:rFonts w:eastAsia="Times New Roman" w:cstheme="minorHAnsi"/>
          <w:szCs w:val="20"/>
        </w:rPr>
        <w:t xml:space="preserve"> </w:t>
      </w:r>
      <w:r w:rsidR="002E5C5B" w:rsidRPr="0075786A">
        <w:rPr>
          <w:rFonts w:eastAsia="Times New Roman" w:cstheme="minorHAnsi"/>
          <w:szCs w:val="20"/>
        </w:rPr>
        <w:t>Udfyld Tabel 1.</w:t>
      </w:r>
    </w:p>
    <w:p w14:paraId="6E086C4D" w14:textId="77777777" w:rsidR="00886165" w:rsidRDefault="00886165" w:rsidP="00886165">
      <w:pPr>
        <w:keepNext/>
        <w:spacing w:after="0" w:line="480" w:lineRule="auto"/>
      </w:pPr>
      <w:r w:rsidRPr="000A4AF3">
        <w:rPr>
          <w:rFonts w:cstheme="minorHAnsi"/>
          <w:noProof/>
        </w:rPr>
        <w:drawing>
          <wp:inline distT="0" distB="0" distL="0" distR="0" wp14:anchorId="111E7C9C" wp14:editId="599F3833">
            <wp:extent cx="1582129" cy="2160000"/>
            <wp:effectExtent l="57150" t="57150" r="56515" b="107315"/>
            <wp:docPr id="4" name="Billede 2" descr="580776_10151493638987558_559039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 descr="580776_10151493638987558_55903945_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129" cy="216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42FA98D" w14:textId="281A6CC0" w:rsidR="00886165" w:rsidRDefault="00886165" w:rsidP="00886165">
      <w:pPr>
        <w:pStyle w:val="Billedtekst"/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7</w:t>
      </w:r>
      <w:r w:rsidR="00BA5356">
        <w:rPr>
          <w:noProof/>
        </w:rPr>
        <w:fldChar w:fldCharType="end"/>
      </w:r>
      <w:r>
        <w:t>. Forsøgsopstilling.</w:t>
      </w:r>
    </w:p>
    <w:p w14:paraId="43886F7F" w14:textId="77777777" w:rsidR="00886165" w:rsidRDefault="00886165" w:rsidP="00886165">
      <w:pPr>
        <w:keepNext/>
        <w:spacing w:after="0" w:line="480" w:lineRule="auto"/>
      </w:pPr>
      <w:r w:rsidRPr="000A4AF3">
        <w:rPr>
          <w:noProof/>
        </w:rPr>
        <w:drawing>
          <wp:inline distT="0" distB="0" distL="0" distR="0" wp14:anchorId="4C3BD9F6" wp14:editId="2F259F9D">
            <wp:extent cx="1624655" cy="2160000"/>
            <wp:effectExtent l="57150" t="57150" r="71120" b="107315"/>
            <wp:docPr id="5" name="Billede 3" descr="5796_4859739888430_10265922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5796_4859739888430_1026592255_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655" cy="216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2A3CD7" w14:textId="3D415D08" w:rsidR="00886165" w:rsidRDefault="00886165" w:rsidP="00886165">
      <w:pPr>
        <w:pStyle w:val="Billedtekst"/>
        <w:rPr>
          <w:rFonts w:eastAsia="Times New Roman" w:cstheme="minorHAnsi"/>
          <w:sz w:val="20"/>
          <w:szCs w:val="20"/>
        </w:rPr>
      </w:pPr>
      <w:r>
        <w:t xml:space="preserve">Figur </w:t>
      </w:r>
      <w:r w:rsidR="00BA5356">
        <w:fldChar w:fldCharType="begin"/>
      </w:r>
      <w:r w:rsidR="00BA5356">
        <w:instrText xml:space="preserve"> SEQ Figur \* ARABIC </w:instrText>
      </w:r>
      <w:r w:rsidR="00BA5356">
        <w:fldChar w:fldCharType="separate"/>
      </w:r>
      <w:r w:rsidR="00783B2A">
        <w:rPr>
          <w:noProof/>
        </w:rPr>
        <w:t>8</w:t>
      </w:r>
      <w:r w:rsidR="00BA5356">
        <w:rPr>
          <w:noProof/>
        </w:rPr>
        <w:fldChar w:fldCharType="end"/>
      </w:r>
      <w:r>
        <w:t>. Eksempel på forsøgsresultater.</w:t>
      </w:r>
    </w:p>
    <w:p w14:paraId="436CFEEA" w14:textId="77777777" w:rsidR="00886165" w:rsidRDefault="00886165" w:rsidP="001B382B">
      <w:pPr>
        <w:spacing w:after="0" w:line="312" w:lineRule="auto"/>
        <w:rPr>
          <w:rFonts w:eastAsia="Times New Roman" w:cstheme="minorHAnsi"/>
          <w:szCs w:val="20"/>
        </w:rPr>
        <w:sectPr w:rsidR="00886165" w:rsidSect="00886165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477C25AF" w14:textId="77777777" w:rsidR="00886165" w:rsidRPr="0075786A" w:rsidRDefault="00886165" w:rsidP="001B382B">
      <w:pPr>
        <w:spacing w:after="0" w:line="312" w:lineRule="auto"/>
        <w:rPr>
          <w:rFonts w:eastAsia="Times New Roman" w:cstheme="minorHAnsi"/>
          <w:szCs w:val="20"/>
        </w:rPr>
      </w:pPr>
    </w:p>
    <w:p w14:paraId="00BE79C7" w14:textId="65B24265" w:rsidR="00926CB2" w:rsidRDefault="00926CB2" w:rsidP="00886165">
      <w:pPr>
        <w:pStyle w:val="Billedtekst"/>
        <w:keepNext/>
        <w:spacing w:after="120"/>
      </w:pPr>
      <w:r>
        <w:t xml:space="preserve">Tabel </w:t>
      </w:r>
      <w:r w:rsidR="00BA5356">
        <w:fldChar w:fldCharType="begin"/>
      </w:r>
      <w:r w:rsidR="00BA5356">
        <w:instrText xml:space="preserve"> SEQ Tabel \* ARABIC </w:instrText>
      </w:r>
      <w:r w:rsidR="00BA5356">
        <w:fldChar w:fldCharType="separate"/>
      </w:r>
      <w:r w:rsidR="00783B2A">
        <w:rPr>
          <w:noProof/>
        </w:rPr>
        <w:t>1</w:t>
      </w:r>
      <w:r w:rsidR="00BA5356">
        <w:rPr>
          <w:noProof/>
        </w:rPr>
        <w:fldChar w:fldCharType="end"/>
      </w:r>
      <w:r>
        <w:t>. Resultater fra forsøg med enzymatisk nedbry</w:t>
      </w:r>
      <w:r w:rsidR="0075786A">
        <w:t>dning</w:t>
      </w:r>
      <w:r>
        <w:t xml:space="preserve"> af fedt i piskefløde.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2127"/>
        <w:gridCol w:w="1752"/>
        <w:gridCol w:w="1785"/>
      </w:tblGrid>
      <w:tr w:rsidR="009318AA" w14:paraId="7954D4F2" w14:textId="77777777" w:rsidTr="00E7339D">
        <w:tc>
          <w:tcPr>
            <w:tcW w:w="846" w:type="dxa"/>
          </w:tcPr>
          <w:p w14:paraId="26527A8C" w14:textId="77777777" w:rsidR="009318AA" w:rsidRDefault="009318AA" w:rsidP="00926C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Glas</w:t>
            </w:r>
          </w:p>
          <w:p w14:paraId="453409A1" w14:textId="77777777" w:rsidR="009318AA" w:rsidRDefault="009318AA" w:rsidP="00926C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nr.</w:t>
            </w:r>
          </w:p>
        </w:tc>
        <w:tc>
          <w:tcPr>
            <w:tcW w:w="1701" w:type="dxa"/>
          </w:tcPr>
          <w:p w14:paraId="78623060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Galdesalte tilsat?</w:t>
            </w:r>
          </w:p>
          <w:p w14:paraId="69E6D4F3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Ja eller nej</w:t>
            </w:r>
          </w:p>
        </w:tc>
        <w:tc>
          <w:tcPr>
            <w:tcW w:w="1417" w:type="dxa"/>
          </w:tcPr>
          <w:p w14:paraId="578454B4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Lipase tilsat?</w:t>
            </w:r>
          </w:p>
          <w:p w14:paraId="0AB262D9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Ja eller nej</w:t>
            </w:r>
          </w:p>
        </w:tc>
        <w:tc>
          <w:tcPr>
            <w:tcW w:w="2127" w:type="dxa"/>
          </w:tcPr>
          <w:p w14:paraId="7886D00F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Tid til farveændring</w:t>
            </w:r>
          </w:p>
          <w:p w14:paraId="66E8B640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(minutter:sekunder)</w:t>
            </w:r>
          </w:p>
        </w:tc>
        <w:tc>
          <w:tcPr>
            <w:tcW w:w="1752" w:type="dxa"/>
          </w:tcPr>
          <w:p w14:paraId="08A4972F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Farveændring?</w:t>
            </w:r>
          </w:p>
          <w:p w14:paraId="2D48A910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Fra lyserød til…</w:t>
            </w:r>
          </w:p>
        </w:tc>
        <w:tc>
          <w:tcPr>
            <w:tcW w:w="1785" w:type="dxa"/>
          </w:tcPr>
          <w:p w14:paraId="578A8D1F" w14:textId="77777777" w:rsidR="009318AA" w:rsidRDefault="009318AA" w:rsidP="009318A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pH ved forsøgets afslutning</w:t>
            </w:r>
          </w:p>
        </w:tc>
      </w:tr>
      <w:tr w:rsidR="009318AA" w14:paraId="54AC9FD7" w14:textId="77777777" w:rsidTr="00E7339D">
        <w:tc>
          <w:tcPr>
            <w:tcW w:w="846" w:type="dxa"/>
          </w:tcPr>
          <w:p w14:paraId="467A3D54" w14:textId="77777777" w:rsidR="009318AA" w:rsidRDefault="009318AA" w:rsidP="00926C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A8F8B44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DEA20B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FB60E1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8C06C43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905F59E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18AA" w14:paraId="2678C7F8" w14:textId="77777777" w:rsidTr="00E7339D">
        <w:tc>
          <w:tcPr>
            <w:tcW w:w="846" w:type="dxa"/>
          </w:tcPr>
          <w:p w14:paraId="7D7CD517" w14:textId="77777777" w:rsidR="009318AA" w:rsidRDefault="009318AA" w:rsidP="00926C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907D954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293CA9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0914BC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16D3528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59D1698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18AA" w14:paraId="30729921" w14:textId="77777777" w:rsidTr="00E7339D">
        <w:tc>
          <w:tcPr>
            <w:tcW w:w="846" w:type="dxa"/>
          </w:tcPr>
          <w:p w14:paraId="029C4D97" w14:textId="77777777" w:rsidR="009318AA" w:rsidRDefault="009318AA" w:rsidP="00926CB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1593AD3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328780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84F1A0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F363C79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EBAD463" w14:textId="77777777" w:rsidR="009318AA" w:rsidRDefault="009318AA" w:rsidP="002E5C5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769658C" w14:textId="77777777" w:rsidR="00886165" w:rsidRDefault="00886165" w:rsidP="001B382B">
      <w:pPr>
        <w:spacing w:after="0" w:line="312" w:lineRule="auto"/>
        <w:rPr>
          <w:rFonts w:eastAsia="Times New Roman" w:cstheme="minorHAnsi"/>
          <w:szCs w:val="20"/>
        </w:rPr>
      </w:pPr>
    </w:p>
    <w:p w14:paraId="61698E8A" w14:textId="77777777" w:rsidR="001B382B" w:rsidRPr="001B382B" w:rsidRDefault="001B382B" w:rsidP="00886165">
      <w:pPr>
        <w:spacing w:before="120" w:after="0" w:line="312" w:lineRule="auto"/>
        <w:rPr>
          <w:rFonts w:eastAsia="Times New Roman" w:cstheme="minorHAnsi"/>
        </w:rPr>
      </w:pPr>
      <w:r w:rsidRPr="0075786A">
        <w:rPr>
          <w:rFonts w:eastAsia="Times New Roman" w:cstheme="minorHAnsi"/>
          <w:szCs w:val="20"/>
        </w:rPr>
        <w:t>NÅR I SKAL SKRIVE JOURNALEN:</w:t>
      </w:r>
      <w:r>
        <w:rPr>
          <w:rFonts w:eastAsia="Times New Roman" w:cstheme="minorHAnsi"/>
          <w:szCs w:val="20"/>
        </w:rPr>
        <w:t xml:space="preserve"> </w:t>
      </w:r>
      <w:r w:rsidRPr="0075786A">
        <w:rPr>
          <w:rFonts w:eastAsia="Times New Roman" w:cstheme="minorHAnsi"/>
          <w:szCs w:val="20"/>
        </w:rPr>
        <w:t xml:space="preserve">Indled resultatafsnittet med et par korte sætninger om, hvad forsøget viste. Husk at henvise til fotos fra forsøget samt Tabel 1 med resultaterne. Forsøg dernæst at forklare, hvad der skete i hvert glas. </w:t>
      </w:r>
      <w:r w:rsidR="00AB19E3">
        <w:rPr>
          <w:rFonts w:eastAsia="Times New Roman" w:cstheme="minorHAnsi"/>
          <w:szCs w:val="20"/>
        </w:rPr>
        <w:t>(</w:t>
      </w:r>
      <w:r w:rsidRPr="0075786A">
        <w:rPr>
          <w:rFonts w:eastAsia="Times New Roman" w:cstheme="minorHAnsi"/>
          <w:szCs w:val="20"/>
        </w:rPr>
        <w:t xml:space="preserve">Hvilken effekt har galdesalte på den enzymatiske nedbrydning af fedt? Hvilken effekt har enzymet lipase (som </w:t>
      </w:r>
      <w:r w:rsidRPr="001B382B">
        <w:rPr>
          <w:rFonts w:eastAsia="Times New Roman" w:cstheme="minorHAnsi"/>
        </w:rPr>
        <w:t>findes i pancreatin-opløsningen) på den enzymatiske nedbrydning af fedt? Hvordan kan vi bruge indikatorstoffet phenolrødt til at finde ud af, om fedtet i glasset er blevet nedbrudt?</w:t>
      </w:r>
      <w:r w:rsidR="00AB19E3">
        <w:rPr>
          <w:rFonts w:eastAsia="Times New Roman" w:cstheme="minorHAnsi"/>
        </w:rPr>
        <w:t>)</w:t>
      </w:r>
    </w:p>
    <w:p w14:paraId="298E2671" w14:textId="77777777" w:rsidR="002E5C5B" w:rsidRPr="001B382B" w:rsidRDefault="002E5C5B" w:rsidP="00886165">
      <w:pPr>
        <w:spacing w:line="240" w:lineRule="auto"/>
        <w:rPr>
          <w:rFonts w:eastAsia="Times New Roman" w:cstheme="minorHAnsi"/>
        </w:rPr>
      </w:pPr>
    </w:p>
    <w:p w14:paraId="4D657C84" w14:textId="77777777" w:rsidR="008D0A82" w:rsidRPr="001B382B" w:rsidRDefault="008D0A82" w:rsidP="001B382B">
      <w:pPr>
        <w:pStyle w:val="Overskrift1"/>
        <w:rPr>
          <w:rFonts w:eastAsia="Times New Roman"/>
        </w:rPr>
      </w:pPr>
      <w:r w:rsidRPr="001B382B">
        <w:rPr>
          <w:rFonts w:eastAsia="Times New Roman"/>
        </w:rPr>
        <w:t>Fejlkilder:</w:t>
      </w:r>
    </w:p>
    <w:p w14:paraId="4966A806" w14:textId="77777777" w:rsidR="008D0A82" w:rsidRDefault="008D0A82" w:rsidP="001B382B">
      <w:pPr>
        <w:spacing w:after="0" w:line="312" w:lineRule="auto"/>
        <w:rPr>
          <w:rFonts w:eastAsia="Times New Roman" w:cstheme="minorHAnsi"/>
        </w:rPr>
      </w:pPr>
      <w:r w:rsidRPr="001B382B">
        <w:rPr>
          <w:rFonts w:eastAsia="Times New Roman" w:cstheme="minorHAnsi"/>
        </w:rPr>
        <w:t xml:space="preserve">Hvis I fulgte vejledningen, bør der ikke være fejlkilder – skriv ”ingen”. Hvis noget gik galt undervejs, skal I forklare, hvad der gik galt, og hvordan det påvirkede resultaterne. Til sidst i afsnittet </w:t>
      </w:r>
      <w:r w:rsidR="00886165">
        <w:rPr>
          <w:rFonts w:eastAsia="Times New Roman" w:cstheme="minorHAnsi"/>
        </w:rPr>
        <w:t xml:space="preserve">om fejlkilder </w:t>
      </w:r>
      <w:r w:rsidRPr="001B382B">
        <w:rPr>
          <w:rFonts w:eastAsia="Times New Roman" w:cstheme="minorHAnsi"/>
        </w:rPr>
        <w:t>skal I vurdere, om I overhovedet kan bruge resultaterne</w:t>
      </w:r>
      <w:r w:rsidR="001B382B" w:rsidRPr="001B382B">
        <w:rPr>
          <w:rFonts w:eastAsia="Times New Roman" w:cstheme="minorHAnsi"/>
        </w:rPr>
        <w:t xml:space="preserve"> til at evaluere jeres hypotese</w:t>
      </w:r>
      <w:r w:rsidR="00886165">
        <w:rPr>
          <w:rFonts w:eastAsia="Times New Roman" w:cstheme="minorHAnsi"/>
        </w:rPr>
        <w:t>r</w:t>
      </w:r>
      <w:r w:rsidR="001B382B" w:rsidRPr="001B382B">
        <w:rPr>
          <w:rFonts w:eastAsia="Times New Roman" w:cstheme="minorHAnsi"/>
        </w:rPr>
        <w:t xml:space="preserve"> med.</w:t>
      </w:r>
    </w:p>
    <w:p w14:paraId="0248C061" w14:textId="77777777" w:rsidR="00886165" w:rsidRPr="001B382B" w:rsidRDefault="00886165" w:rsidP="001B382B">
      <w:pPr>
        <w:spacing w:after="0" w:line="312" w:lineRule="auto"/>
        <w:rPr>
          <w:rFonts w:eastAsia="Times New Roman" w:cstheme="minorHAnsi"/>
        </w:rPr>
      </w:pPr>
    </w:p>
    <w:p w14:paraId="3C0906AE" w14:textId="77777777" w:rsidR="002E5C5B" w:rsidRDefault="001B382B" w:rsidP="001B382B">
      <w:pPr>
        <w:pStyle w:val="Overskrift1"/>
        <w:rPr>
          <w:rFonts w:eastAsia="Times New Roman"/>
        </w:rPr>
      </w:pPr>
      <w:r>
        <w:rPr>
          <w:rFonts w:eastAsia="Times New Roman"/>
        </w:rPr>
        <w:t>Konklusion:</w:t>
      </w:r>
    </w:p>
    <w:p w14:paraId="415218F4" w14:textId="77777777" w:rsidR="002E5C5B" w:rsidRPr="001B382B" w:rsidRDefault="001B382B" w:rsidP="001B382B">
      <w:pPr>
        <w:spacing w:after="0" w:line="312" w:lineRule="auto"/>
        <w:rPr>
          <w:rFonts w:eastAsia="Times New Roman" w:cstheme="minorHAnsi"/>
        </w:rPr>
      </w:pPr>
      <w:r w:rsidRPr="001B382B">
        <w:rPr>
          <w:rFonts w:eastAsia="Times New Roman" w:cstheme="minorHAnsi"/>
        </w:rPr>
        <w:t xml:space="preserve">Evaluer jeres </w:t>
      </w:r>
      <w:r w:rsidR="00886165">
        <w:rPr>
          <w:rFonts w:eastAsia="Times New Roman" w:cstheme="minorHAnsi"/>
        </w:rPr>
        <w:t xml:space="preserve">tre </w:t>
      </w:r>
      <w:r w:rsidRPr="001B382B">
        <w:rPr>
          <w:rFonts w:eastAsia="Times New Roman" w:cstheme="minorHAnsi"/>
        </w:rPr>
        <w:t>hypotese</w:t>
      </w:r>
      <w:r w:rsidR="00886165">
        <w:rPr>
          <w:rFonts w:eastAsia="Times New Roman" w:cstheme="minorHAnsi"/>
        </w:rPr>
        <w:t>r</w:t>
      </w:r>
      <w:r w:rsidRPr="001B382B">
        <w:rPr>
          <w:rFonts w:eastAsia="Times New Roman" w:cstheme="minorHAnsi"/>
        </w:rPr>
        <w:t>. Skriv jeres vigtigste resultater / opdagelser. Saml op på formålet.</w:t>
      </w:r>
    </w:p>
    <w:sectPr w:rsidR="002E5C5B" w:rsidRPr="001B382B" w:rsidSect="0059321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2029" w14:textId="77777777" w:rsidR="00613B02" w:rsidRDefault="00613B02" w:rsidP="00A40581">
      <w:pPr>
        <w:spacing w:after="0" w:line="240" w:lineRule="auto"/>
      </w:pPr>
      <w:r>
        <w:separator/>
      </w:r>
    </w:p>
  </w:endnote>
  <w:endnote w:type="continuationSeparator" w:id="0">
    <w:p w14:paraId="0588D632" w14:textId="77777777" w:rsidR="00613B02" w:rsidRDefault="00613B02" w:rsidP="00A4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3685"/>
      <w:docPartObj>
        <w:docPartGallery w:val="Page Numbers (Bottom of Page)"/>
        <w:docPartUnique/>
      </w:docPartObj>
    </w:sdtPr>
    <w:sdtContent>
      <w:p w14:paraId="4E5BD06C" w14:textId="77777777" w:rsidR="00593217" w:rsidRDefault="0059321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7ADFB" w14:textId="77777777" w:rsidR="00593217" w:rsidRDefault="005932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796C" w14:textId="77777777" w:rsidR="00613B02" w:rsidRDefault="00613B02" w:rsidP="00A40581">
      <w:pPr>
        <w:spacing w:after="0" w:line="240" w:lineRule="auto"/>
      </w:pPr>
      <w:r>
        <w:separator/>
      </w:r>
    </w:p>
  </w:footnote>
  <w:footnote w:type="continuationSeparator" w:id="0">
    <w:p w14:paraId="69553821" w14:textId="77777777" w:rsidR="00613B02" w:rsidRDefault="00613B02" w:rsidP="00A40581">
      <w:pPr>
        <w:spacing w:after="0" w:line="240" w:lineRule="auto"/>
      </w:pPr>
      <w:r>
        <w:continuationSeparator/>
      </w:r>
    </w:p>
  </w:footnote>
  <w:footnote w:id="1">
    <w:p w14:paraId="6D4E798A" w14:textId="77777777" w:rsidR="004970F5" w:rsidRPr="009860FB" w:rsidRDefault="004970F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860FB">
        <w:rPr>
          <w:rFonts w:eastAsia="Times New Roman" w:cstheme="minorHAnsi"/>
        </w:rPr>
        <w:t xml:space="preserve">Man kan også bruge sødmælk, men mælkeproduktet må ikke være homogeniseret) </w:t>
      </w:r>
    </w:p>
  </w:footnote>
  <w:footnote w:id="2">
    <w:p w14:paraId="7699A428" w14:textId="77777777" w:rsidR="00A40581" w:rsidRPr="009860FB" w:rsidRDefault="00A40581">
      <w:pPr>
        <w:pStyle w:val="Fodnotetekst"/>
      </w:pPr>
      <w:r w:rsidRPr="009860FB">
        <w:rPr>
          <w:rStyle w:val="Fodnotehenvisning"/>
        </w:rPr>
        <w:footnoteRef/>
      </w:r>
      <w:r w:rsidRPr="009860FB">
        <w:t xml:space="preserve"> Hvis 0,1 M NaOH kan det være op til 20-30 dråber…</w:t>
      </w:r>
    </w:p>
  </w:footnote>
  <w:footnote w:id="3">
    <w:p w14:paraId="7F3B8AA3" w14:textId="77777777" w:rsidR="004970F5" w:rsidRDefault="004970F5">
      <w:pPr>
        <w:pStyle w:val="Fodnotetekst"/>
      </w:pPr>
      <w:r>
        <w:rPr>
          <w:rStyle w:val="Fodnotehenvisning"/>
        </w:rPr>
        <w:footnoteRef/>
      </w:r>
      <w:r>
        <w:t xml:space="preserve"> Det tager typisk 5-10 minutter, men hold øje hele tiden!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13F58"/>
    <w:multiLevelType w:val="hybridMultilevel"/>
    <w:tmpl w:val="B4B62D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32383"/>
    <w:multiLevelType w:val="hybridMultilevel"/>
    <w:tmpl w:val="E1BC7E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102"/>
    <w:multiLevelType w:val="hybridMultilevel"/>
    <w:tmpl w:val="3D2AE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741690">
    <w:abstractNumId w:val="1"/>
  </w:num>
  <w:num w:numId="2" w16cid:durableId="1147671703">
    <w:abstractNumId w:val="0"/>
  </w:num>
  <w:num w:numId="3" w16cid:durableId="193235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E"/>
    <w:rsid w:val="00013E62"/>
    <w:rsid w:val="00133E47"/>
    <w:rsid w:val="001B382B"/>
    <w:rsid w:val="002E5C5B"/>
    <w:rsid w:val="003A13FF"/>
    <w:rsid w:val="004970F5"/>
    <w:rsid w:val="00593217"/>
    <w:rsid w:val="005A33FE"/>
    <w:rsid w:val="00613B02"/>
    <w:rsid w:val="00626DB1"/>
    <w:rsid w:val="00663A7A"/>
    <w:rsid w:val="00683B2D"/>
    <w:rsid w:val="00684574"/>
    <w:rsid w:val="007038F6"/>
    <w:rsid w:val="0075786A"/>
    <w:rsid w:val="00783B2A"/>
    <w:rsid w:val="00886165"/>
    <w:rsid w:val="008D0A82"/>
    <w:rsid w:val="008D4240"/>
    <w:rsid w:val="00926CB2"/>
    <w:rsid w:val="009318AA"/>
    <w:rsid w:val="009743EE"/>
    <w:rsid w:val="009860FB"/>
    <w:rsid w:val="009D507E"/>
    <w:rsid w:val="009D65CD"/>
    <w:rsid w:val="00A26F63"/>
    <w:rsid w:val="00A40581"/>
    <w:rsid w:val="00AB19E3"/>
    <w:rsid w:val="00BA5356"/>
    <w:rsid w:val="00BB442C"/>
    <w:rsid w:val="00CA628B"/>
    <w:rsid w:val="00CA6F06"/>
    <w:rsid w:val="00D54C77"/>
    <w:rsid w:val="00D91F46"/>
    <w:rsid w:val="00E16729"/>
    <w:rsid w:val="00E7339D"/>
    <w:rsid w:val="00EA0DC2"/>
    <w:rsid w:val="00EA64BD"/>
    <w:rsid w:val="00E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6D23"/>
  <w15:chartTrackingRefBased/>
  <w15:docId w15:val="{FF739730-D2C3-477D-98A2-84B70AC9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43E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43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9743EE"/>
    <w:pPr>
      <w:spacing w:after="200" w:line="276" w:lineRule="auto"/>
      <w:ind w:left="720"/>
      <w:contextualSpacing/>
    </w:pPr>
    <w:rPr>
      <w:rFonts w:eastAsiaTheme="minorEastAsia"/>
      <w:lang w:eastAsia="da-DK"/>
    </w:rPr>
  </w:style>
  <w:style w:type="table" w:styleId="Tabel-Gitter">
    <w:name w:val="Table Grid"/>
    <w:basedOn w:val="Tabel-Normal"/>
    <w:uiPriority w:val="59"/>
    <w:rsid w:val="009743EE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9743E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4058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4058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40581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593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3217"/>
  </w:style>
  <w:style w:type="paragraph" w:styleId="Sidefod">
    <w:name w:val="footer"/>
    <w:basedOn w:val="Normal"/>
    <w:link w:val="SidefodTegn"/>
    <w:uiPriority w:val="99"/>
    <w:unhideWhenUsed/>
    <w:rsid w:val="00593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3217"/>
  </w:style>
  <w:style w:type="character" w:styleId="Hyperlink">
    <w:name w:val="Hyperlink"/>
    <w:basedOn w:val="Standardskrifttypeiafsnit"/>
    <w:uiPriority w:val="99"/>
    <w:unhideWhenUsed/>
    <w:rsid w:val="009860F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/index.php?curid=3923857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ndscience.dk/sund/fordoejelsen-af-fedt/large/emulsionaffedtdr-c3-a5be.jp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F256-046F-45E1-8DBC-7A38B1A2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cp:lastPrinted>2021-04-28T13:20:00Z</cp:lastPrinted>
  <dcterms:created xsi:type="dcterms:W3CDTF">2024-11-26T21:59:00Z</dcterms:created>
  <dcterms:modified xsi:type="dcterms:W3CDTF">2024-11-26T21:59:00Z</dcterms:modified>
</cp:coreProperties>
</file>