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7B39" w14:textId="28C40B3D" w:rsidR="005D6B12" w:rsidRPr="00726FB3" w:rsidRDefault="005D6B12" w:rsidP="005D6B12">
      <w:pPr>
        <w:shd w:val="clear" w:color="auto" w:fill="FFFF99"/>
        <w:spacing w:after="100" w:afterAutospacing="1"/>
        <w:rPr>
          <w:rFonts w:ascii="Calibri" w:hAnsi="Calibri" w:cs="Calibri"/>
          <w:b/>
          <w:bCs/>
          <w:sz w:val="22"/>
          <w:szCs w:val="22"/>
        </w:rPr>
      </w:pPr>
      <w:r w:rsidRPr="00726FB3">
        <w:rPr>
          <w:rFonts w:ascii="Calibri" w:hAnsi="Calibri" w:cs="Calibri"/>
          <w:b/>
          <w:bCs/>
          <w:sz w:val="22"/>
          <w:szCs w:val="22"/>
        </w:rPr>
        <w:t>2y BI</w:t>
      </w:r>
      <w:r w:rsidRPr="00726FB3">
        <w:rPr>
          <w:rFonts w:ascii="Calibri" w:hAnsi="Calibri" w:cs="Calibri"/>
          <w:b/>
          <w:bCs/>
          <w:sz w:val="22"/>
          <w:szCs w:val="22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          </w:t>
      </w:r>
      <w:r w:rsidRPr="00726FB3">
        <w:rPr>
          <w:rFonts w:ascii="Calibri" w:hAnsi="Calibri" w:cs="Calibri"/>
          <w:b/>
          <w:bCs/>
          <w:sz w:val="22"/>
          <w:szCs w:val="22"/>
        </w:rPr>
        <w:t xml:space="preserve"> Nervesignalet (</w:t>
      </w:r>
      <w:r>
        <w:rPr>
          <w:rFonts w:ascii="Calibri" w:hAnsi="Calibri" w:cs="Calibri"/>
          <w:b/>
          <w:bCs/>
          <w:sz w:val="22"/>
          <w:szCs w:val="22"/>
        </w:rPr>
        <w:t>synapsen</w:t>
      </w:r>
      <w:r w:rsidRPr="00726FB3">
        <w:rPr>
          <w:rFonts w:ascii="Calibri" w:hAnsi="Calibri" w:cs="Calibri"/>
          <w:b/>
          <w:bCs/>
          <w:sz w:val="22"/>
          <w:szCs w:val="22"/>
        </w:rPr>
        <w:t>)</w:t>
      </w:r>
      <w:r w:rsidRPr="00726FB3">
        <w:rPr>
          <w:rFonts w:ascii="Calibri" w:hAnsi="Calibri" w:cs="Calibri"/>
          <w:b/>
          <w:bCs/>
          <w:sz w:val="22"/>
          <w:szCs w:val="22"/>
        </w:rPr>
        <w:tab/>
      </w:r>
      <w:r w:rsidRPr="00726FB3">
        <w:rPr>
          <w:rFonts w:ascii="Calibri" w:hAnsi="Calibri" w:cs="Calibri"/>
          <w:b/>
          <w:bCs/>
          <w:sz w:val="22"/>
          <w:szCs w:val="22"/>
        </w:rPr>
        <w:tab/>
        <w:t xml:space="preserve">     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26FB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7</w:t>
      </w:r>
      <w:r w:rsidRPr="00726FB3">
        <w:rPr>
          <w:rFonts w:ascii="Calibri" w:hAnsi="Calibri" w:cs="Calibri"/>
          <w:b/>
          <w:bCs/>
          <w:sz w:val="22"/>
          <w:szCs w:val="22"/>
        </w:rPr>
        <w:t>. marts 2025</w:t>
      </w:r>
    </w:p>
    <w:p w14:paraId="7823174A" w14:textId="77777777" w:rsidR="005D6B12" w:rsidRPr="007F4C19" w:rsidRDefault="005D6B12" w:rsidP="005D6B12">
      <w:pPr>
        <w:spacing w:before="360"/>
        <w:rPr>
          <w:rFonts w:ascii="Calibri" w:hAnsi="Calibri" w:cs="Calibri"/>
          <w:i/>
          <w:iCs/>
          <w:sz w:val="22"/>
          <w:szCs w:val="22"/>
        </w:rPr>
      </w:pPr>
      <w:r w:rsidRPr="007F4C19">
        <w:rPr>
          <w:rFonts w:ascii="Calibri" w:hAnsi="Calibri" w:cs="Calibri"/>
          <w:i/>
          <w:iCs/>
          <w:sz w:val="22"/>
          <w:szCs w:val="22"/>
        </w:rPr>
        <w:t xml:space="preserve">Lektie i </w:t>
      </w:r>
      <w:proofErr w:type="spellStart"/>
      <w:r w:rsidRPr="007F4C19">
        <w:rPr>
          <w:rFonts w:ascii="Calibri" w:hAnsi="Calibri" w:cs="Calibri"/>
          <w:i/>
          <w:iCs/>
          <w:sz w:val="22"/>
          <w:szCs w:val="22"/>
        </w:rPr>
        <w:t>Yubio</w:t>
      </w:r>
      <w:proofErr w:type="spellEnd"/>
      <w:r w:rsidRPr="007F4C19">
        <w:rPr>
          <w:rFonts w:ascii="Calibri" w:hAnsi="Calibri" w:cs="Calibri"/>
          <w:i/>
          <w:iCs/>
          <w:sz w:val="22"/>
          <w:szCs w:val="22"/>
        </w:rPr>
        <w:t xml:space="preserve"> A:</w:t>
      </w:r>
    </w:p>
    <w:p w14:paraId="452CB1A8" w14:textId="0B29A3F4" w:rsidR="005D6B12" w:rsidRDefault="005D6B12" w:rsidP="005D6B12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7F4C19">
        <w:rPr>
          <w:rFonts w:ascii="Calibri" w:hAnsi="Calibri" w:cs="Calibri"/>
          <w:i/>
          <w:iCs/>
          <w:sz w:val="22"/>
          <w:szCs w:val="22"/>
        </w:rPr>
        <w:t xml:space="preserve">s. </w:t>
      </w:r>
      <w:r w:rsidRPr="005D6B12">
        <w:rPr>
          <w:rFonts w:ascii="Calibri" w:hAnsi="Calibri" w:cs="Calibri"/>
          <w:i/>
          <w:iCs/>
          <w:sz w:val="22"/>
          <w:szCs w:val="22"/>
        </w:rPr>
        <w:t>422-424, 481</w:t>
      </w:r>
      <w:r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005D6B12">
        <w:rPr>
          <w:rFonts w:ascii="Calibri" w:hAnsi="Calibri" w:cs="Calibri"/>
          <w:i/>
          <w:iCs/>
          <w:sz w:val="22"/>
          <w:szCs w:val="22"/>
        </w:rPr>
        <w:t>Læs afsnit 8.3.5 Synapsen. Tjek, du har styr på fagbegreberne i Resuméet s. 481 i kategorierne Opdeling, Nervevæv og Nervesignaler.</w:t>
      </w:r>
    </w:p>
    <w:p w14:paraId="6A9859C0" w14:textId="77777777" w:rsidR="005D6B12" w:rsidRPr="005D6B12" w:rsidRDefault="005D6B12" w:rsidP="005D6B12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676DA78C" w14:textId="77777777" w:rsidR="005D6B12" w:rsidRPr="005D6B12" w:rsidRDefault="005D6B12" w:rsidP="005D6B12">
      <w:pPr>
        <w:spacing w:after="0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74C18850" w14:textId="77777777" w:rsidR="005D6B12" w:rsidRPr="005D6B12" w:rsidRDefault="005D6B12" w:rsidP="005D6B12">
      <w:pPr>
        <w:spacing w:after="0"/>
        <w:rPr>
          <w:rFonts w:ascii="Calibri" w:hAnsi="Calibri" w:cs="Calibri"/>
          <w:sz w:val="22"/>
          <w:szCs w:val="22"/>
        </w:rPr>
      </w:pPr>
    </w:p>
    <w:p w14:paraId="53E0478E" w14:textId="77777777" w:rsidR="005D6B12" w:rsidRPr="005D6B12" w:rsidRDefault="005D6B12" w:rsidP="005D6B12">
      <w:pPr>
        <w:pStyle w:val="Listeafsnit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>Synapsen. Hvorfor er der brug for transmitterstoffer? (Tip: Beskriv synapsekløften.)</w:t>
      </w:r>
    </w:p>
    <w:p w14:paraId="5E25F018" w14:textId="77777777" w:rsidR="005D6B12" w:rsidRPr="005D6B12" w:rsidRDefault="005D6B12" w:rsidP="005D6B12">
      <w:pPr>
        <w:pStyle w:val="Listeafsnit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Før nervecellen kan frigive transmitterstoffer fra </w:t>
      </w:r>
      <w:proofErr w:type="spellStart"/>
      <w:r w:rsidRPr="005D6B12">
        <w:rPr>
          <w:rFonts w:ascii="Calibri" w:hAnsi="Calibri" w:cs="Calibri"/>
          <w:sz w:val="22"/>
          <w:szCs w:val="22"/>
        </w:rPr>
        <w:t>vesikler</w:t>
      </w:r>
      <w:proofErr w:type="spellEnd"/>
      <w:r w:rsidRPr="005D6B12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5D6B12">
        <w:rPr>
          <w:rFonts w:ascii="Calibri" w:hAnsi="Calibri" w:cs="Calibri"/>
          <w:sz w:val="22"/>
          <w:szCs w:val="22"/>
        </w:rPr>
        <w:t>endeknoppen</w:t>
      </w:r>
      <w:proofErr w:type="spellEnd"/>
      <w:r w:rsidRPr="005D6B12">
        <w:rPr>
          <w:rFonts w:ascii="Calibri" w:hAnsi="Calibri" w:cs="Calibri"/>
          <w:sz w:val="22"/>
          <w:szCs w:val="22"/>
        </w:rPr>
        <w:t>, kræves ”handling” fra en ny ion – hvilken? Og hvad skal ionen ”gøre”?</w:t>
      </w:r>
    </w:p>
    <w:p w14:paraId="7078BCEE" w14:textId="5E60AD3F" w:rsidR="005D6B12" w:rsidRPr="005D6B12" w:rsidRDefault="005D6B12" w:rsidP="005D6B12">
      <w:pPr>
        <w:pStyle w:val="Listeafsnit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Hvad sker der typisk, hvis et transmitterstof fra den </w:t>
      </w:r>
      <w:proofErr w:type="spellStart"/>
      <w:r w:rsidRPr="005D6B12">
        <w:rPr>
          <w:rFonts w:ascii="Calibri" w:hAnsi="Calibri" w:cs="Calibri"/>
          <w:sz w:val="22"/>
          <w:szCs w:val="22"/>
        </w:rPr>
        <w:t>præsynaptiske</w:t>
      </w:r>
      <w:proofErr w:type="spellEnd"/>
      <w:r w:rsidRPr="005D6B12">
        <w:rPr>
          <w:rFonts w:ascii="Calibri" w:hAnsi="Calibri" w:cs="Calibri"/>
          <w:sz w:val="22"/>
          <w:szCs w:val="22"/>
        </w:rPr>
        <w:t xml:space="preserve"> nervecelle binder sig til en receptor på den </w:t>
      </w:r>
      <w:proofErr w:type="spellStart"/>
      <w:r w:rsidRPr="005D6B12">
        <w:rPr>
          <w:rFonts w:ascii="Calibri" w:hAnsi="Calibri" w:cs="Calibri"/>
          <w:sz w:val="22"/>
          <w:szCs w:val="22"/>
        </w:rPr>
        <w:t>postsynaptiske</w:t>
      </w:r>
      <w:proofErr w:type="spellEnd"/>
      <w:r w:rsidRPr="005D6B12">
        <w:rPr>
          <w:rFonts w:ascii="Calibri" w:hAnsi="Calibri" w:cs="Calibri"/>
          <w:sz w:val="22"/>
          <w:szCs w:val="22"/>
        </w:rPr>
        <w:t xml:space="preserve"> nervecelle? Du kan få hjælp på Figur 8.20, som du skal være i stand til at forklare / genfortælle</w:t>
      </w:r>
      <w:r>
        <w:rPr>
          <w:rFonts w:ascii="Calibri" w:hAnsi="Calibri" w:cs="Calibri"/>
          <w:sz w:val="22"/>
          <w:szCs w:val="22"/>
        </w:rPr>
        <w:t>.</w:t>
      </w:r>
      <w:r w:rsidRPr="005D6B12">
        <w:rPr>
          <w:rFonts w:ascii="Calibri" w:hAnsi="Calibri" w:cs="Calibri"/>
          <w:sz w:val="22"/>
          <w:szCs w:val="22"/>
        </w:rPr>
        <w:t xml:space="preserve"> </w:t>
      </w:r>
      <w:r w:rsidRPr="005D6B12">
        <w:rPr>
          <w:rFonts w:ascii="Calibri" w:hAnsi="Calibri" w:cs="Calibri"/>
          <w:sz w:val="22"/>
          <w:szCs w:val="22"/>
        </w:rPr>
        <w:sym w:font="Wingdings" w:char="F04A"/>
      </w:r>
    </w:p>
    <w:p w14:paraId="62F4EC19" w14:textId="47CCD6A4" w:rsidR="005D6B12" w:rsidRPr="005D6B12" w:rsidRDefault="005D6B12" w:rsidP="005D6B12">
      <w:pPr>
        <w:pStyle w:val="Listeafsnit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Hvis du havde overskud til at læse teksten i den grå boks s. </w:t>
      </w:r>
      <w:r>
        <w:rPr>
          <w:rFonts w:ascii="Calibri" w:hAnsi="Calibri" w:cs="Calibri"/>
          <w:sz w:val="22"/>
          <w:szCs w:val="22"/>
        </w:rPr>
        <w:t>424</w:t>
      </w:r>
      <w:r w:rsidRPr="005D6B12">
        <w:rPr>
          <w:rFonts w:ascii="Calibri" w:hAnsi="Calibri" w:cs="Calibri"/>
          <w:sz w:val="22"/>
          <w:szCs w:val="22"/>
        </w:rPr>
        <w:t>, hvad er så hovedforskellen på kemiske og elektriske synapser i nervesystemet, og hvor i kroppen findes de to typer?</w:t>
      </w:r>
    </w:p>
    <w:p w14:paraId="2D171EA6" w14:textId="2F6C074C" w:rsidR="005D6B12" w:rsidRPr="005D6B12" w:rsidRDefault="005D6B12" w:rsidP="005D6B12">
      <w:pPr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14:paraId="62E8FD50" w14:textId="77777777" w:rsidR="005D6B12" w:rsidRPr="005D6B12" w:rsidRDefault="005D6B12" w:rsidP="005D6B12">
      <w:pPr>
        <w:rPr>
          <w:rFonts w:ascii="Calibri" w:hAnsi="Calibri" w:cs="Calibri"/>
          <w:sz w:val="22"/>
          <w:szCs w:val="22"/>
        </w:rPr>
      </w:pPr>
    </w:p>
    <w:p w14:paraId="2B01E8C1" w14:textId="77777777" w:rsidR="005D6B12" w:rsidRDefault="005D6B12" w:rsidP="005D6B12">
      <w:pPr>
        <w:rPr>
          <w:rFonts w:ascii="Calibri" w:hAnsi="Calibri" w:cs="Calibri"/>
          <w:b/>
          <w:bCs/>
          <w:sz w:val="22"/>
          <w:szCs w:val="22"/>
        </w:rPr>
      </w:pPr>
      <w:r w:rsidRPr="005D6B12">
        <w:rPr>
          <w:rFonts w:ascii="Calibri" w:hAnsi="Calibri" w:cs="Calibri"/>
          <w:b/>
          <w:bCs/>
          <w:sz w:val="28"/>
          <w:szCs w:val="28"/>
        </w:rPr>
        <w:t>Tilbud: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F4ACDEA" w14:textId="034B0424" w:rsidR="005D6B12" w:rsidRPr="005D6B12" w:rsidRDefault="005D6B12" w:rsidP="005D6B1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 at gennemarbejde / repetere lektien fra sidste gang (</w:t>
      </w:r>
      <w:r w:rsidRPr="005D6B12">
        <w:rPr>
          <w:rFonts w:ascii="Calibri" w:hAnsi="Calibri" w:cs="Calibri"/>
          <w:i/>
          <w:iCs/>
          <w:sz w:val="22"/>
          <w:szCs w:val="22"/>
        </w:rPr>
        <w:t xml:space="preserve">afsnittene </w:t>
      </w:r>
      <w:r w:rsidRPr="005D6B12">
        <w:rPr>
          <w:rFonts w:ascii="Calibri" w:hAnsi="Calibri" w:cs="Calibri"/>
          <w:i/>
          <w:iCs/>
          <w:sz w:val="22"/>
          <w:szCs w:val="22"/>
        </w:rPr>
        <w:t xml:space="preserve">8.3.3 </w:t>
      </w:r>
      <w:proofErr w:type="spellStart"/>
      <w:r w:rsidRPr="005D6B12">
        <w:rPr>
          <w:rFonts w:ascii="Calibri" w:hAnsi="Calibri" w:cs="Calibri"/>
          <w:i/>
          <w:iCs/>
          <w:sz w:val="22"/>
          <w:szCs w:val="22"/>
        </w:rPr>
        <w:t>Summation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og</w:t>
      </w:r>
      <w:r w:rsidRPr="005D6B12">
        <w:rPr>
          <w:rFonts w:ascii="Calibri" w:hAnsi="Calibri" w:cs="Calibri"/>
          <w:i/>
          <w:iCs/>
          <w:sz w:val="22"/>
          <w:szCs w:val="22"/>
        </w:rPr>
        <w:t xml:space="preserve"> 8.3.4 Aktionspotentialets vandring</w:t>
      </w:r>
      <w:r>
        <w:rPr>
          <w:rFonts w:ascii="Calibri" w:hAnsi="Calibri" w:cs="Calibri"/>
          <w:b/>
          <w:bCs/>
          <w:sz w:val="22"/>
          <w:szCs w:val="22"/>
        </w:rPr>
        <w:t>) kan du hjemme svare på disse opgaver</w:t>
      </w:r>
      <w:r w:rsidRPr="005D6B12">
        <w:rPr>
          <w:rFonts w:ascii="Calibri" w:hAnsi="Calibri" w:cs="Calibri"/>
          <w:b/>
          <w:bCs/>
          <w:sz w:val="22"/>
          <w:szCs w:val="22"/>
        </w:rPr>
        <w:t>:</w:t>
      </w:r>
    </w:p>
    <w:p w14:paraId="13CA5A69" w14:textId="07AC239D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>Hvor på overfladen modtager nerveceller input fra andre nerveceller?</w:t>
      </w:r>
    </w:p>
    <w:p w14:paraId="54FB1DCC" w14:textId="0E077A14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Genopfrisk, hvad forkortelserne EPSP og IPSP står for </w:t>
      </w:r>
      <w:r w:rsidRPr="005D6B12">
        <w:sym w:font="Wingdings" w:char="F04A"/>
      </w:r>
    </w:p>
    <w:p w14:paraId="40B30908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Redegør for </w:t>
      </w:r>
      <w:proofErr w:type="spellStart"/>
      <w:r w:rsidRPr="005D6B12">
        <w:rPr>
          <w:rFonts w:ascii="Calibri" w:hAnsi="Calibri" w:cs="Calibri"/>
          <w:sz w:val="22"/>
          <w:szCs w:val="22"/>
        </w:rPr>
        <w:t>summation</w:t>
      </w:r>
      <w:proofErr w:type="spellEnd"/>
      <w:r w:rsidRPr="005D6B12">
        <w:rPr>
          <w:rFonts w:ascii="Calibri" w:hAnsi="Calibri" w:cs="Calibri"/>
          <w:sz w:val="22"/>
          <w:szCs w:val="22"/>
        </w:rPr>
        <w:t xml:space="preserve"> og inddrag de fire eksempler i Figur 8.15 s. 384.</w:t>
      </w:r>
    </w:p>
    <w:p w14:paraId="2F6E3D4B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Se ca. 20 sekunder af denne animation for at få en idé om, hvad der menes med ”antagonistiske muskler”: </w:t>
      </w:r>
      <w:hyperlink r:id="rId7" w:history="1">
        <w:r w:rsidRPr="005D6B12">
          <w:rPr>
            <w:rStyle w:val="Hyperlink"/>
            <w:rFonts w:ascii="Calibri" w:hAnsi="Calibri" w:cs="Calibri"/>
            <w:sz w:val="22"/>
            <w:szCs w:val="22"/>
          </w:rPr>
          <w:t>https://www.youtube.com/watch?v=VCminz-X52I</w:t>
        </w:r>
      </w:hyperlink>
      <w:r w:rsidRPr="005D6B12">
        <w:rPr>
          <w:rFonts w:ascii="Calibri" w:hAnsi="Calibri" w:cs="Calibri"/>
          <w:sz w:val="22"/>
          <w:szCs w:val="22"/>
        </w:rPr>
        <w:t xml:space="preserve">  Når biceps-musklen trækker sig sammen, bøjes armen (og triceps-musklen slapper af). Når triceps-musklen trækker sig sammen, strækkes armen (og biceps-musklen slapper af).</w:t>
      </w:r>
    </w:p>
    <w:p w14:paraId="3332215E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Find syv transmitterstoffer og sæt dem korrekt på plads i Tabel 1 vha. Figur 8.16 i </w:t>
      </w:r>
      <w:proofErr w:type="spellStart"/>
      <w:r w:rsidRPr="005D6B12">
        <w:rPr>
          <w:rFonts w:ascii="Calibri" w:hAnsi="Calibri" w:cs="Calibri"/>
          <w:sz w:val="22"/>
          <w:szCs w:val="22"/>
        </w:rPr>
        <w:t>Yubio</w:t>
      </w:r>
      <w:proofErr w:type="spellEnd"/>
      <w:r w:rsidRPr="005D6B12">
        <w:rPr>
          <w:rFonts w:ascii="Calibri" w:hAnsi="Calibri" w:cs="Calibri"/>
          <w:sz w:val="22"/>
          <w:szCs w:val="22"/>
        </w:rPr>
        <w:t>:</w:t>
      </w:r>
    </w:p>
    <w:p w14:paraId="2536D2B1" w14:textId="77777777" w:rsidR="005D6B12" w:rsidRPr="005D6B12" w:rsidRDefault="005D6B12" w:rsidP="005D6B12">
      <w:pPr>
        <w:pStyle w:val="Listeafsnit"/>
        <w:rPr>
          <w:rFonts w:ascii="Calibri" w:hAnsi="Calibri" w:cs="Calibri"/>
          <w:sz w:val="22"/>
          <w:szCs w:val="22"/>
        </w:rPr>
      </w:pPr>
    </w:p>
    <w:p w14:paraId="433D84FA" w14:textId="77777777" w:rsidR="005D6B12" w:rsidRPr="005D6B12" w:rsidRDefault="005D6B12" w:rsidP="005D6B12">
      <w:pPr>
        <w:pStyle w:val="Listeafsnit"/>
        <w:rPr>
          <w:rFonts w:ascii="Calibri" w:hAnsi="Calibri" w:cs="Calibri"/>
          <w:color w:val="FF0000"/>
          <w:sz w:val="22"/>
          <w:szCs w:val="22"/>
        </w:rPr>
      </w:pPr>
      <w:r w:rsidRPr="005D6B12">
        <w:rPr>
          <w:rFonts w:ascii="Calibri" w:hAnsi="Calibri" w:cs="Calibri"/>
          <w:color w:val="FF0000"/>
          <w:sz w:val="22"/>
          <w:szCs w:val="22"/>
        </w:rPr>
        <w:t xml:space="preserve">Tomat – Glutamat – Automat – Pirat – Portvin – Serotonin – Slagtesvin – Dopamin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Din&amp;min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Adrenalin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Ren&amp;Fin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Porcelæn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Temli’Pæn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Natriumbum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Chloridperfid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Glycin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Stearin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Acetylcholin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</w:t>
      </w:r>
      <w:proofErr w:type="spellStart"/>
      <w:r w:rsidRPr="005D6B12">
        <w:rPr>
          <w:rFonts w:ascii="Calibri" w:hAnsi="Calibri" w:cs="Calibri"/>
          <w:color w:val="FF0000"/>
          <w:sz w:val="22"/>
          <w:szCs w:val="22"/>
        </w:rPr>
        <w:t>Mærk’li’tGrin</w:t>
      </w:r>
      <w:proofErr w:type="spellEnd"/>
      <w:r w:rsidRPr="005D6B12">
        <w:rPr>
          <w:rFonts w:ascii="Calibri" w:hAnsi="Calibri" w:cs="Calibri"/>
          <w:color w:val="FF0000"/>
          <w:sz w:val="22"/>
          <w:szCs w:val="22"/>
        </w:rPr>
        <w:t xml:space="preserve"> – Albumin – Hestegrin – BASF – GAFFA – GABA – YABADABADUT!</w:t>
      </w:r>
    </w:p>
    <w:p w14:paraId="2A2338E6" w14:textId="77777777" w:rsidR="005D6B12" w:rsidRPr="005D6B12" w:rsidRDefault="005D6B12" w:rsidP="005D6B12">
      <w:pPr>
        <w:pStyle w:val="Listeafsnit"/>
        <w:rPr>
          <w:rFonts w:ascii="Calibri" w:hAnsi="Calibri" w:cs="Calibri"/>
          <w:sz w:val="22"/>
          <w:szCs w:val="22"/>
        </w:rPr>
      </w:pPr>
    </w:p>
    <w:p w14:paraId="244A8D5F" w14:textId="77777777" w:rsidR="005D6B12" w:rsidRPr="005D6B12" w:rsidRDefault="005D6B12" w:rsidP="005D6B12">
      <w:pPr>
        <w:pStyle w:val="Billedtekst"/>
        <w:keepNext/>
        <w:ind w:firstLine="720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Tabel </w:t>
      </w:r>
      <w:r w:rsidRPr="005D6B12">
        <w:rPr>
          <w:rFonts w:ascii="Calibri" w:hAnsi="Calibri" w:cs="Calibri"/>
          <w:sz w:val="22"/>
          <w:szCs w:val="22"/>
        </w:rPr>
        <w:fldChar w:fldCharType="begin"/>
      </w:r>
      <w:r w:rsidRPr="005D6B12">
        <w:rPr>
          <w:rFonts w:ascii="Calibri" w:hAnsi="Calibri" w:cs="Calibri"/>
          <w:sz w:val="22"/>
          <w:szCs w:val="22"/>
        </w:rPr>
        <w:instrText xml:space="preserve"> SEQ Tabel \* ARABIC </w:instrText>
      </w:r>
      <w:r w:rsidRPr="005D6B12">
        <w:rPr>
          <w:rFonts w:ascii="Calibri" w:hAnsi="Calibri" w:cs="Calibri"/>
          <w:sz w:val="22"/>
          <w:szCs w:val="22"/>
        </w:rPr>
        <w:fldChar w:fldCharType="separate"/>
      </w:r>
      <w:r w:rsidRPr="005D6B12">
        <w:rPr>
          <w:rFonts w:ascii="Calibri" w:hAnsi="Calibri" w:cs="Calibri"/>
          <w:noProof/>
          <w:sz w:val="22"/>
          <w:szCs w:val="22"/>
        </w:rPr>
        <w:t>1</w:t>
      </w:r>
      <w:r w:rsidRPr="005D6B12">
        <w:rPr>
          <w:rFonts w:ascii="Calibri" w:hAnsi="Calibri" w:cs="Calibri"/>
          <w:noProof/>
          <w:sz w:val="22"/>
          <w:szCs w:val="22"/>
        </w:rPr>
        <w:fldChar w:fldCharType="end"/>
      </w:r>
      <w:r w:rsidRPr="005D6B12">
        <w:rPr>
          <w:rFonts w:ascii="Calibri" w:hAnsi="Calibri" w:cs="Calibri"/>
          <w:sz w:val="22"/>
          <w:szCs w:val="22"/>
        </w:rPr>
        <w:t>. Oversigt over forskellige transmitterstoffer i nervesystemet.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69"/>
        <w:gridCol w:w="1604"/>
        <w:gridCol w:w="1533"/>
        <w:gridCol w:w="1534"/>
        <w:gridCol w:w="1534"/>
        <w:gridCol w:w="1534"/>
      </w:tblGrid>
      <w:tr w:rsidR="005D6B12" w:rsidRPr="005D6B12" w14:paraId="73959926" w14:textId="77777777" w:rsidTr="00203424">
        <w:tc>
          <w:tcPr>
            <w:tcW w:w="1169" w:type="dxa"/>
          </w:tcPr>
          <w:p w14:paraId="5B1E49BB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  <w:b/>
                <w:bCs/>
              </w:rPr>
            </w:pPr>
            <w:r w:rsidRPr="005D6B12">
              <w:rPr>
                <w:rFonts w:ascii="Calibri" w:hAnsi="Calibri" w:cs="Calibri"/>
                <w:b/>
                <w:bCs/>
              </w:rPr>
              <w:t>Signaltype</w:t>
            </w:r>
          </w:p>
        </w:tc>
        <w:tc>
          <w:tcPr>
            <w:tcW w:w="7739" w:type="dxa"/>
            <w:gridSpan w:val="5"/>
          </w:tcPr>
          <w:p w14:paraId="33FF6B11" w14:textId="77777777" w:rsidR="005D6B12" w:rsidRPr="005D6B12" w:rsidRDefault="005D6B12" w:rsidP="00203424">
            <w:pPr>
              <w:pStyle w:val="Listeafsni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5D6B12">
              <w:rPr>
                <w:rFonts w:ascii="Calibri" w:hAnsi="Calibri" w:cs="Calibri"/>
                <w:b/>
                <w:bCs/>
              </w:rPr>
              <w:t>Transmitterstof</w:t>
            </w:r>
          </w:p>
          <w:p w14:paraId="68BB46BC" w14:textId="77777777" w:rsidR="005D6B12" w:rsidRPr="005D6B12" w:rsidRDefault="005D6B12" w:rsidP="00203424">
            <w:pPr>
              <w:pStyle w:val="Listeafsnit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D6B12" w:rsidRPr="005D6B12" w14:paraId="78C93149" w14:textId="77777777" w:rsidTr="00203424">
        <w:tc>
          <w:tcPr>
            <w:tcW w:w="1169" w:type="dxa"/>
          </w:tcPr>
          <w:p w14:paraId="4D213480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  <w:r w:rsidRPr="005D6B12">
              <w:rPr>
                <w:rFonts w:ascii="Calibri" w:hAnsi="Calibri" w:cs="Calibri"/>
              </w:rPr>
              <w:t>IPSP</w:t>
            </w:r>
          </w:p>
        </w:tc>
        <w:tc>
          <w:tcPr>
            <w:tcW w:w="1604" w:type="dxa"/>
          </w:tcPr>
          <w:p w14:paraId="0DE7E958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3" w:type="dxa"/>
          </w:tcPr>
          <w:p w14:paraId="14EF9C74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4751CC8E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28214931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20019BF8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</w:tr>
      <w:tr w:rsidR="005D6B12" w:rsidRPr="005D6B12" w14:paraId="4373B472" w14:textId="77777777" w:rsidTr="00203424">
        <w:tc>
          <w:tcPr>
            <w:tcW w:w="1169" w:type="dxa"/>
          </w:tcPr>
          <w:p w14:paraId="5974C690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  <w:r w:rsidRPr="005D6B12">
              <w:rPr>
                <w:rFonts w:ascii="Calibri" w:hAnsi="Calibri" w:cs="Calibri"/>
              </w:rPr>
              <w:t>EPSP</w:t>
            </w:r>
          </w:p>
        </w:tc>
        <w:tc>
          <w:tcPr>
            <w:tcW w:w="1604" w:type="dxa"/>
          </w:tcPr>
          <w:p w14:paraId="6FF264B1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3" w:type="dxa"/>
          </w:tcPr>
          <w:p w14:paraId="410DC719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489BDA08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1E08377B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3C45239B" w14:textId="77777777" w:rsidR="005D6B12" w:rsidRPr="005D6B12" w:rsidRDefault="005D6B12" w:rsidP="00203424">
            <w:pPr>
              <w:pStyle w:val="Listeafsnit"/>
              <w:ind w:left="0"/>
              <w:rPr>
                <w:rFonts w:ascii="Calibri" w:hAnsi="Calibri" w:cs="Calibri"/>
              </w:rPr>
            </w:pPr>
          </w:p>
        </w:tc>
      </w:tr>
    </w:tbl>
    <w:p w14:paraId="48DE49A9" w14:textId="77777777" w:rsidR="005D6B12" w:rsidRPr="005D6B12" w:rsidRDefault="005D6B12" w:rsidP="005D6B12">
      <w:pPr>
        <w:pStyle w:val="Listeafsnit"/>
        <w:rPr>
          <w:rFonts w:ascii="Calibri" w:hAnsi="Calibri" w:cs="Calibri"/>
          <w:sz w:val="22"/>
          <w:szCs w:val="22"/>
        </w:rPr>
      </w:pPr>
    </w:p>
    <w:p w14:paraId="12BCC6D8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lastRenderedPageBreak/>
        <w:t>Tegn, hvordan et EPSP i en hæmmende nervecelle kan medføre et IPSP i den næste nervecelle.</w:t>
      </w:r>
    </w:p>
    <w:p w14:paraId="6F24F5E7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>Hvad er en spændingsfølsom natriumkanal?</w:t>
      </w:r>
    </w:p>
    <w:p w14:paraId="77FA89EA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Hvorfor bruger Skadhede og de andre </w:t>
      </w:r>
      <w:proofErr w:type="spellStart"/>
      <w:r w:rsidRPr="005D6B12">
        <w:rPr>
          <w:rFonts w:ascii="Calibri" w:hAnsi="Calibri" w:cs="Calibri"/>
          <w:sz w:val="22"/>
          <w:szCs w:val="22"/>
        </w:rPr>
        <w:t>Yubio</w:t>
      </w:r>
      <w:proofErr w:type="spellEnd"/>
      <w:r w:rsidRPr="005D6B12">
        <w:rPr>
          <w:rFonts w:ascii="Calibri" w:hAnsi="Calibri" w:cs="Calibri"/>
          <w:sz w:val="22"/>
          <w:szCs w:val="22"/>
        </w:rPr>
        <w:t>-forfattere analogien med en tændt lunte i forklaringen af aktionspotentialets vandring?</w:t>
      </w:r>
    </w:p>
    <w:p w14:paraId="6189BE88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>Hvor hurtigt kan nervesignaler rejse (husk enhed), og hvilke variable afhænger nerveledningshastigheden af? Se også Figur 8.19.</w:t>
      </w:r>
    </w:p>
    <w:p w14:paraId="7C5F503A" w14:textId="77777777" w:rsidR="005D6B12" w:rsidRPr="005D6B12" w:rsidRDefault="005D6B12" w:rsidP="005D6B12">
      <w:pPr>
        <w:pStyle w:val="Listeafsnit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5D6B12">
        <w:rPr>
          <w:rFonts w:ascii="Calibri" w:hAnsi="Calibri" w:cs="Calibri"/>
          <w:sz w:val="22"/>
          <w:szCs w:val="22"/>
        </w:rPr>
        <w:t xml:space="preserve">Prøv at forklare, hvordan </w:t>
      </w:r>
      <w:proofErr w:type="spellStart"/>
      <w:r w:rsidRPr="005D6B12">
        <w:rPr>
          <w:rFonts w:ascii="Calibri" w:hAnsi="Calibri" w:cs="Calibri"/>
          <w:sz w:val="22"/>
          <w:szCs w:val="22"/>
        </w:rPr>
        <w:t>myelinisering</w:t>
      </w:r>
      <w:proofErr w:type="spellEnd"/>
      <w:r w:rsidRPr="005D6B12">
        <w:rPr>
          <w:rFonts w:ascii="Calibri" w:hAnsi="Calibri" w:cs="Calibri"/>
          <w:sz w:val="22"/>
          <w:szCs w:val="22"/>
        </w:rPr>
        <w:t xml:space="preserve"> af </w:t>
      </w:r>
      <w:proofErr w:type="spellStart"/>
      <w:r w:rsidRPr="005D6B12">
        <w:rPr>
          <w:rFonts w:ascii="Calibri" w:hAnsi="Calibri" w:cs="Calibri"/>
          <w:sz w:val="22"/>
          <w:szCs w:val="22"/>
        </w:rPr>
        <w:t>aksonet</w:t>
      </w:r>
      <w:proofErr w:type="spellEnd"/>
      <w:r w:rsidRPr="005D6B12">
        <w:rPr>
          <w:rFonts w:ascii="Calibri" w:hAnsi="Calibri" w:cs="Calibri"/>
          <w:sz w:val="22"/>
          <w:szCs w:val="22"/>
        </w:rPr>
        <w:t xml:space="preserve"> påvirker signalhastigheden (se Figur 8.18).</w:t>
      </w:r>
    </w:p>
    <w:p w14:paraId="6869381E" w14:textId="77777777" w:rsidR="00A93A2E" w:rsidRDefault="00A93A2E"/>
    <w:sectPr w:rsidR="00A93A2E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07F2" w14:textId="77777777" w:rsidR="001D74FD" w:rsidRDefault="001D74FD" w:rsidP="00EF6DF1">
      <w:pPr>
        <w:spacing w:after="0" w:line="240" w:lineRule="auto"/>
      </w:pPr>
      <w:r>
        <w:separator/>
      </w:r>
    </w:p>
  </w:endnote>
  <w:endnote w:type="continuationSeparator" w:id="0">
    <w:p w14:paraId="36067E66" w14:textId="77777777" w:rsidR="001D74FD" w:rsidRDefault="001D74FD" w:rsidP="00EF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4147514"/>
      <w:docPartObj>
        <w:docPartGallery w:val="Page Numbers (Bottom of Page)"/>
        <w:docPartUnique/>
      </w:docPartObj>
    </w:sdtPr>
    <w:sdtContent>
      <w:p w14:paraId="4E559428" w14:textId="45272AE0" w:rsidR="00EF6DF1" w:rsidRDefault="00EF6DF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E1F123" w14:textId="77777777" w:rsidR="00EF6DF1" w:rsidRDefault="00EF6D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AA6E" w14:textId="77777777" w:rsidR="001D74FD" w:rsidRDefault="001D74FD" w:rsidP="00EF6DF1">
      <w:pPr>
        <w:spacing w:after="0" w:line="240" w:lineRule="auto"/>
      </w:pPr>
      <w:r>
        <w:separator/>
      </w:r>
    </w:p>
  </w:footnote>
  <w:footnote w:type="continuationSeparator" w:id="0">
    <w:p w14:paraId="3BD9710B" w14:textId="77777777" w:rsidR="001D74FD" w:rsidRDefault="001D74FD" w:rsidP="00EF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7878"/>
    <w:multiLevelType w:val="hybridMultilevel"/>
    <w:tmpl w:val="EA7AD4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0146"/>
    <w:multiLevelType w:val="hybridMultilevel"/>
    <w:tmpl w:val="3A02C7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36059">
    <w:abstractNumId w:val="1"/>
  </w:num>
  <w:num w:numId="2" w16cid:durableId="17164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12"/>
    <w:rsid w:val="00003F3C"/>
    <w:rsid w:val="001D74FD"/>
    <w:rsid w:val="00356DD5"/>
    <w:rsid w:val="005D6B12"/>
    <w:rsid w:val="0079692B"/>
    <w:rsid w:val="008A4B0E"/>
    <w:rsid w:val="00A93A2E"/>
    <w:rsid w:val="00EF6DF1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F16A"/>
  <w15:chartTrackingRefBased/>
  <w15:docId w15:val="{D2A783FA-937A-4DFA-93CE-28A40A5D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B12"/>
  </w:style>
  <w:style w:type="paragraph" w:styleId="Overskrift1">
    <w:name w:val="heading 1"/>
    <w:basedOn w:val="Normal"/>
    <w:next w:val="Normal"/>
    <w:link w:val="Overskrift1Tegn"/>
    <w:uiPriority w:val="9"/>
    <w:qFormat/>
    <w:rsid w:val="005D6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6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6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6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6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6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6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6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6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6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6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6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6B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6B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6B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6B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6B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6B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6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6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6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6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6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6B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6B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6B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6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6B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6B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semiHidden/>
    <w:unhideWhenUsed/>
    <w:rsid w:val="005D6B12"/>
    <w:rPr>
      <w:color w:val="0000FF"/>
      <w:u w:val="single"/>
    </w:rPr>
  </w:style>
  <w:style w:type="table" w:styleId="Tabel-Gitter">
    <w:name w:val="Table Grid"/>
    <w:basedOn w:val="Tabel-Normal"/>
    <w:uiPriority w:val="39"/>
    <w:rsid w:val="005D6B1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D6B12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F6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6DF1"/>
  </w:style>
  <w:style w:type="paragraph" w:styleId="Sidefod">
    <w:name w:val="footer"/>
    <w:basedOn w:val="Normal"/>
    <w:link w:val="SidefodTegn"/>
    <w:uiPriority w:val="99"/>
    <w:unhideWhenUsed/>
    <w:rsid w:val="00EF6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Cminz-X5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2025-03-16T22:48:00Z</dcterms:created>
  <dcterms:modified xsi:type="dcterms:W3CDTF">2025-03-16T22:59:00Z</dcterms:modified>
</cp:coreProperties>
</file>