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A480A" w14:textId="77777777" w:rsidR="009868B7" w:rsidRDefault="009868B7" w:rsidP="009868B7">
      <w:pPr>
        <w:pStyle w:val="Overskrift1"/>
      </w:pPr>
      <w:bookmarkStart w:id="0" w:name="_Hlk191217723"/>
      <w:bookmarkEnd w:id="0"/>
      <w:r>
        <w:t>Smagssansen - Menneskets evne til at detektere bestemte molekyler</w:t>
      </w:r>
    </w:p>
    <w:p w14:paraId="268AC64C" w14:textId="77777777" w:rsidR="009868B7" w:rsidRPr="009868B7" w:rsidRDefault="009868B7" w:rsidP="009868B7"/>
    <w:p w14:paraId="6D8D53A3" w14:textId="77777777" w:rsidR="009868B7" w:rsidRDefault="009868B7">
      <w:pPr>
        <w:sectPr w:rsidR="009868B7">
          <w:footerReference w:type="default" r:id="rId8"/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p w14:paraId="70AE68F6" w14:textId="502CE42E" w:rsidR="00DB6542" w:rsidRDefault="00DB6542">
      <w:r>
        <w:t>Smag kan faktisk være en personlig ting. For nylig fandt forskere</w:t>
      </w:r>
      <w:r w:rsidR="00A426A9">
        <w:t>,</w:t>
      </w:r>
      <w:r>
        <w:t xml:space="preserve"> at smagen af koriander er genetisk betinget</w:t>
      </w:r>
      <w:r w:rsidR="002B430C">
        <w:rPr>
          <w:rStyle w:val="Fodnotehenvisning"/>
        </w:rPr>
        <w:footnoteReference w:id="1"/>
      </w:r>
      <w:r>
        <w:t>. Mens de fleste synes</w:t>
      </w:r>
      <w:r w:rsidR="00A426A9">
        <w:t>,</w:t>
      </w:r>
      <w:r>
        <w:t xml:space="preserve"> at koriander </w:t>
      </w:r>
      <w:r w:rsidR="00A426A9">
        <w:t xml:space="preserve">(Figur 1) </w:t>
      </w:r>
      <w:r>
        <w:t>smager fint nok, synes en mindre del af befolkningen</w:t>
      </w:r>
      <w:r w:rsidR="00A426A9">
        <w:t>,</w:t>
      </w:r>
      <w:r>
        <w:t xml:space="preserve"> at det ”smager af sæbe”. Ved at sammenholde generne i 30.000 mennesker med deres personlige præference for koriander fandt man</w:t>
      </w:r>
      <w:r w:rsidR="00A426A9">
        <w:t>,</w:t>
      </w:r>
      <w:r>
        <w:t xml:space="preserve"> </w:t>
      </w:r>
      <w:r w:rsidR="00A802BE">
        <w:t xml:space="preserve">at ca. 17% af de undersøgte havde en mutation i </w:t>
      </w:r>
      <w:r w:rsidR="00A802BE" w:rsidRPr="00A802BE">
        <w:t xml:space="preserve">genet OR6A2, der koder for en duftreceptor. </w:t>
      </w:r>
    </w:p>
    <w:p w14:paraId="372A1834" w14:textId="4AF4F019" w:rsidR="009868B7" w:rsidRPr="00A802BE" w:rsidRDefault="009868B7" w:rsidP="009868B7">
      <w:pPr>
        <w:pStyle w:val="Listeafsnit"/>
        <w:numPr>
          <w:ilvl w:val="0"/>
          <w:numId w:val="2"/>
        </w:numPr>
        <w:rPr>
          <w:b/>
          <w:i/>
        </w:rPr>
      </w:pPr>
      <w:r w:rsidRPr="00A802BE">
        <w:rPr>
          <w:b/>
          <w:i/>
        </w:rPr>
        <w:t>Giv et forslag til</w:t>
      </w:r>
      <w:r>
        <w:rPr>
          <w:b/>
          <w:i/>
        </w:rPr>
        <w:t>,</w:t>
      </w:r>
      <w:r w:rsidRPr="00A802BE">
        <w:rPr>
          <w:b/>
          <w:i/>
        </w:rPr>
        <w:t xml:space="preserve"> hvordan denne mutation påvirker oplevelsen af koriander hos de 17% af de undersøgte</w:t>
      </w:r>
      <w:r>
        <w:rPr>
          <w:b/>
          <w:i/>
        </w:rPr>
        <w:t>.</w:t>
      </w:r>
    </w:p>
    <w:p w14:paraId="0CCA15A0" w14:textId="72CB7846" w:rsidR="009868B7" w:rsidRDefault="009868B7">
      <w:r>
        <w:rPr>
          <w:noProof/>
          <w:lang w:eastAsia="da-DK"/>
        </w:rPr>
        <w:drawing>
          <wp:inline distT="0" distB="0" distL="0" distR="0" wp14:anchorId="02D20B4C" wp14:editId="4F080B72">
            <wp:extent cx="2686050" cy="2010410"/>
            <wp:effectExtent l="0" t="0" r="0" b="8890"/>
            <wp:docPr id="9" name="Billede 9" descr="http://multimedia.pol.dk/archive/00715/spis_koriander_2_20_71556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ultimedia.pol.dk/archive/00715/spis_koriander_2_20_715564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BE469" w14:textId="5B1E5C02" w:rsidR="009868B7" w:rsidRPr="00A802BE" w:rsidRDefault="009868B7">
      <w:r>
        <w:rPr>
          <w:noProof/>
        </w:rPr>
        <mc:AlternateContent>
          <mc:Choice Requires="wps">
            <w:drawing>
              <wp:inline distT="0" distB="0" distL="0" distR="0" wp14:anchorId="36BC96D6" wp14:editId="7BF36EF9">
                <wp:extent cx="2641600" cy="635"/>
                <wp:effectExtent l="0" t="0" r="6350" b="0"/>
                <wp:docPr id="2125948684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41DED1E" w14:textId="77777777" w:rsidR="009868B7" w:rsidRPr="00A426A9" w:rsidRDefault="009868B7" w:rsidP="009868B7">
                            <w:pPr>
                              <w:pStyle w:val="Billedtekst"/>
                              <w:rPr>
                                <w:noProof/>
                                <w:sz w:val="32"/>
                                <w:szCs w:val="32"/>
                                <w:lang w:eastAsia="da-DK"/>
                              </w:rPr>
                            </w:pPr>
                            <w:r>
                              <w:t xml:space="preserve">Figur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t xml:space="preserve">. Et bundt frisk </w:t>
                            </w:r>
                            <w:r w:rsidRPr="00A426A9">
                              <w:t>koriander (</w:t>
                            </w:r>
                            <w:r w:rsidRPr="00A426A9">
                              <w:rPr>
                                <w:i w:val="0"/>
                                <w:iCs w:val="0"/>
                              </w:rPr>
                              <w:t>Coriandrum sativum</w:t>
                            </w:r>
                            <w:r w:rsidRPr="00A426A9">
                              <w:t>), en art krydderurt fra Skærmplantefamilien (Apiaceae).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6BC96D6"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6" type="#_x0000_t202" style="width:208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" stroked="f">
                <v:textbox style="mso-fit-shape-to-text:t" inset="0,0,0,0">
                  <w:txbxContent>
                    <w:p w14:paraId="141DED1E" w14:textId="77777777" w:rsidR="009868B7" w:rsidRPr="00A426A9" w:rsidRDefault="009868B7" w:rsidP="009868B7">
                      <w:pPr>
                        <w:pStyle w:val="Billedtekst"/>
                        <w:rPr>
                          <w:noProof/>
                          <w:sz w:val="32"/>
                          <w:szCs w:val="32"/>
                          <w:lang w:eastAsia="da-DK"/>
                        </w:rPr>
                      </w:pPr>
                      <w:r>
                        <w:t xml:space="preserve">Figur </w:t>
                      </w:r>
                      <w:r>
                        <w:fldChar w:fldCharType="begin"/>
                      </w:r>
                      <w:r>
                        <w:instrText xml:space="preserve"> SEQ Figur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  <w:r>
                        <w:t xml:space="preserve">. Et bundt frisk </w:t>
                      </w:r>
                      <w:r w:rsidRPr="00A426A9">
                        <w:t>koriander (</w:t>
                      </w:r>
                      <w:r w:rsidRPr="00A426A9">
                        <w:rPr>
                          <w:i w:val="0"/>
                          <w:iCs w:val="0"/>
                        </w:rPr>
                        <w:t>Coriandrum sativum</w:t>
                      </w:r>
                      <w:r w:rsidRPr="00A426A9">
                        <w:t>), en art krydderurt fra Skærmplantefamilien (Apiaceae).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1CE7B77" w14:textId="77777777" w:rsidR="009868B7" w:rsidRDefault="009868B7" w:rsidP="0080483B">
      <w:pPr>
        <w:pStyle w:val="Overskrift2"/>
        <w:sectPr w:rsidR="009868B7" w:rsidSect="009868B7">
          <w:type w:val="continuous"/>
          <w:pgSz w:w="11906" w:h="16838"/>
          <w:pgMar w:top="1701" w:right="1134" w:bottom="1701" w:left="1134" w:header="708" w:footer="708" w:gutter="0"/>
          <w:cols w:num="2" w:space="708"/>
          <w:docGrid w:linePitch="360"/>
        </w:sectPr>
      </w:pPr>
    </w:p>
    <w:p w14:paraId="372FFEED" w14:textId="77777777" w:rsidR="0080483B" w:rsidRDefault="0080483B" w:rsidP="0080483B">
      <w:pPr>
        <w:pStyle w:val="Overskrift2"/>
      </w:pPr>
      <w:r>
        <w:t>Smagssansen</w:t>
      </w:r>
    </w:p>
    <w:p w14:paraId="4753A489" w14:textId="725F4505" w:rsidR="0080483B" w:rsidRPr="00AF2374" w:rsidRDefault="0080483B" w:rsidP="0080483B">
      <w:r>
        <w:t>Den menneskelige tunge har 2</w:t>
      </w:r>
      <w:r w:rsidR="00A426A9">
        <w:t>.</w:t>
      </w:r>
      <w:r>
        <w:t>000-5</w:t>
      </w:r>
      <w:r w:rsidR="00A426A9">
        <w:t>.</w:t>
      </w:r>
      <w:r>
        <w:t>000 smagsløg</w:t>
      </w:r>
      <w:r w:rsidR="002B430C">
        <w:rPr>
          <w:rStyle w:val="Fodnotehenvisning"/>
        </w:rPr>
        <w:footnoteReference w:id="2"/>
      </w:r>
      <w:r w:rsidR="00A426A9">
        <w:t>,</w:t>
      </w:r>
      <w:r>
        <w:t xml:space="preserve"> der hver indeholder 5-18 smagsceller</w:t>
      </w:r>
      <w:r w:rsidR="00A426A9">
        <w:t xml:space="preserve"> (se Figur 2)</w:t>
      </w:r>
      <w:r>
        <w:t xml:space="preserve">. </w:t>
      </w:r>
      <w:r w:rsidR="00AF2374">
        <w:t xml:space="preserve">Hvert smagsløg indeholder mellem 50 og 100 smagsreceptorer. Overordnet set findes der 5 grupper af smagsreceptorer: receptorer for salt, sødt, surt, bittert og umami. </w:t>
      </w:r>
    </w:p>
    <w:p w14:paraId="6B4E4D97" w14:textId="77777777" w:rsidR="00A426A9" w:rsidRDefault="0080483B" w:rsidP="00A426A9">
      <w:pPr>
        <w:keepNext/>
        <w:ind w:firstLine="1304"/>
      </w:pPr>
      <w:r w:rsidRPr="0080483B">
        <w:rPr>
          <w:noProof/>
        </w:rPr>
        <w:drawing>
          <wp:inline distT="0" distB="0" distL="0" distR="0" wp14:anchorId="7858D7CB" wp14:editId="035B78F1">
            <wp:extent cx="4210050" cy="1867291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845" t="27500" r="9053" b="12492"/>
                    <a:stretch/>
                  </pic:blipFill>
                  <pic:spPr bwMode="auto">
                    <a:xfrm>
                      <a:off x="0" y="0"/>
                      <a:ext cx="4212486" cy="1868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DBFED2" w14:textId="4466AA0D" w:rsidR="0080483B" w:rsidRDefault="00A426A9" w:rsidP="00A426A9">
      <w:pPr>
        <w:pStyle w:val="Billedtekst"/>
        <w:ind w:firstLine="1304"/>
      </w:pPr>
      <w:r>
        <w:t xml:space="preserve">                        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996AB9">
        <w:rPr>
          <w:noProof/>
        </w:rPr>
        <w:t>2</w:t>
      </w:r>
      <w:r>
        <w:fldChar w:fldCharType="end"/>
      </w:r>
      <w:r>
        <w:t>. Diagram af et smagsløg i menneskets tunge.</w:t>
      </w:r>
    </w:p>
    <w:p w14:paraId="2A253B2F" w14:textId="77777777" w:rsidR="00A426A9" w:rsidRDefault="00A426A9" w:rsidP="00A426A9"/>
    <w:p w14:paraId="356AA99E" w14:textId="77777777" w:rsidR="00A426A9" w:rsidRPr="00AF2374" w:rsidRDefault="00A426A9" w:rsidP="00A426A9">
      <w:r>
        <w:t>Smagen af surt (H</w:t>
      </w:r>
      <w:r>
        <w:rPr>
          <w:vertAlign w:val="superscript"/>
        </w:rPr>
        <w:t>+</w:t>
      </w:r>
      <w:r>
        <w:t>) og salt (f.eks. Na</w:t>
      </w:r>
      <w:r>
        <w:rPr>
          <w:vertAlign w:val="superscript"/>
        </w:rPr>
        <w:t>+</w:t>
      </w:r>
      <w:r>
        <w:t xml:space="preserve"> og Cl</w:t>
      </w:r>
      <w:r>
        <w:rPr>
          <w:vertAlign w:val="superscript"/>
        </w:rPr>
        <w:t>-</w:t>
      </w:r>
      <w:r>
        <w:t xml:space="preserve">) opfanges af ionkanaler i smagscellens membran (se Figur 3). Smagen af sødt, bittert og umami opfanges af såkaldte ”G-protein koblede receptorer” (se Figur 3). I hver gruppe findes der flere forskellige receptortyper, der f.eks. genkender forskellige bitre smagsstoffer. </w:t>
      </w:r>
    </w:p>
    <w:p w14:paraId="7A26968D" w14:textId="77777777" w:rsidR="00A426A9" w:rsidRPr="00A426A9" w:rsidRDefault="00A426A9" w:rsidP="00A426A9"/>
    <w:p w14:paraId="31F532D1" w14:textId="77777777" w:rsidR="00A426A9" w:rsidRDefault="00666390" w:rsidP="00A426A9">
      <w:pPr>
        <w:keepNext/>
      </w:pPr>
      <w:r w:rsidRPr="00666390">
        <w:rPr>
          <w:noProof/>
        </w:rPr>
        <w:lastRenderedPageBreak/>
        <w:drawing>
          <wp:inline distT="0" distB="0" distL="0" distR="0" wp14:anchorId="673B6222" wp14:editId="6C308F1C">
            <wp:extent cx="5503333" cy="3095625"/>
            <wp:effectExtent l="0" t="0" r="254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7574" cy="309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BC371" w14:textId="35929564" w:rsidR="00666390" w:rsidRDefault="00A426A9" w:rsidP="00A426A9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996AB9">
        <w:rPr>
          <w:noProof/>
        </w:rPr>
        <w:t>3</w:t>
      </w:r>
      <w:r>
        <w:fldChar w:fldCharType="end"/>
      </w:r>
      <w:r>
        <w:t>. Tværsnit af en smagscelles cellemembran. Der ses både en ionkanal (tv) og en G-protein koblet receptor (th).</w:t>
      </w:r>
    </w:p>
    <w:p w14:paraId="0C1570FD" w14:textId="77777777" w:rsidR="00666390" w:rsidRDefault="00666390" w:rsidP="00666390">
      <w:pPr>
        <w:pStyle w:val="Overskrift3"/>
      </w:pPr>
      <w:r>
        <w:t>Bitter</w:t>
      </w:r>
      <w:r w:rsidR="00BC5B0B">
        <w:t>-</w:t>
      </w:r>
      <w:r>
        <w:t>receptorerne</w:t>
      </w:r>
    </w:p>
    <w:p w14:paraId="2D9C5076" w14:textId="4A43EBD7" w:rsidR="0080483B" w:rsidRDefault="00BC5B0B" w:rsidP="00666390">
      <w:r>
        <w:t>Bitter-receptorerne er de mest følsomme receptorer</w:t>
      </w:r>
      <w:r w:rsidR="00A426A9">
        <w:t>,</w:t>
      </w:r>
      <w:r>
        <w:t xml:space="preserve"> vi har. Når disse receptorer aktiveres ved binding af smagsstoffer</w:t>
      </w:r>
      <w:r w:rsidR="00A426A9">
        <w:t>,</w:t>
      </w:r>
      <w:r>
        <w:t xml:space="preserve"> fortolkes det af hjernen som en skarp og ubehagelig smag (defineret som bitter). </w:t>
      </w:r>
      <w:r w:rsidR="00666390">
        <w:t xml:space="preserve">Der findes ca. 25 forskellige receptorer for bitre smagsstoffer i mennesket. Man har desuden fundet over 550 forskellige stoffer med bitter smag. Disse er enten specifikke over for en bestemt receptor </w:t>
      </w:r>
      <w:r>
        <w:t>eller en kombination af bitter-receptorer. Der er således mulighed for</w:t>
      </w:r>
      <w:r w:rsidR="00A426A9">
        <w:t>,</w:t>
      </w:r>
      <w:r>
        <w:t xml:space="preserve"> at hvert af disse stoffer giver et særligt bittert smagsindtryk. </w:t>
      </w:r>
    </w:p>
    <w:p w14:paraId="60C77B55" w14:textId="0A5CD063" w:rsidR="00BC5B0B" w:rsidRDefault="00BC5B0B" w:rsidP="00666390">
      <w:r>
        <w:t>Det har vist sig</w:t>
      </w:r>
      <w:r w:rsidR="00A426A9">
        <w:t>,</w:t>
      </w:r>
      <w:r>
        <w:t xml:space="preserve"> at en lang række af de stoffer</w:t>
      </w:r>
      <w:r w:rsidR="00A426A9">
        <w:t>,</w:t>
      </w:r>
      <w:r>
        <w:t xml:space="preserve"> som binder til bitter-receptorerne</w:t>
      </w:r>
      <w:r w:rsidR="00A426A9">
        <w:t>,</w:t>
      </w:r>
      <w:r>
        <w:t xml:space="preserve"> er giftige for mennesker. </w:t>
      </w:r>
    </w:p>
    <w:p w14:paraId="5FD35C1F" w14:textId="269196D7" w:rsidR="00BC5B0B" w:rsidRPr="00A426A9" w:rsidRDefault="00BC5B0B" w:rsidP="00A426A9">
      <w:pPr>
        <w:pStyle w:val="Listeafsnit"/>
        <w:numPr>
          <w:ilvl w:val="0"/>
          <w:numId w:val="2"/>
        </w:numPr>
        <w:rPr>
          <w:b/>
          <w:i/>
        </w:rPr>
      </w:pPr>
      <w:r w:rsidRPr="00A426A9">
        <w:rPr>
          <w:b/>
          <w:i/>
        </w:rPr>
        <w:t>Giv en mulig begrundelse for</w:t>
      </w:r>
      <w:r w:rsidR="00A426A9" w:rsidRPr="00A426A9">
        <w:rPr>
          <w:b/>
          <w:i/>
        </w:rPr>
        <w:t>,</w:t>
      </w:r>
      <w:r w:rsidRPr="00A426A9">
        <w:rPr>
          <w:b/>
          <w:i/>
        </w:rPr>
        <w:t xml:space="preserve"> hvorfor netop smagen af bitter er så følsom og varieret. </w:t>
      </w:r>
    </w:p>
    <w:p w14:paraId="4A81EED9" w14:textId="77777777" w:rsidR="00BC5B0B" w:rsidRDefault="00BC5B0B" w:rsidP="00BC5B0B">
      <w:pPr>
        <w:pStyle w:val="Overskrift3"/>
      </w:pPr>
      <w:r w:rsidRPr="00BC5B0B">
        <w:t>TAS2R38</w:t>
      </w:r>
      <w:r>
        <w:t xml:space="preserve"> receptoren</w:t>
      </w:r>
    </w:p>
    <w:p w14:paraId="75B4CFA6" w14:textId="1ED46E6E" w:rsidR="00BC5B0B" w:rsidRDefault="001F742F" w:rsidP="00BC5B0B">
      <w:r w:rsidRPr="001F742F">
        <w:t>TAS2R38</w:t>
      </w:r>
      <w:r>
        <w:t xml:space="preserve"> er en bitter</w:t>
      </w:r>
      <w:r w:rsidR="00A426A9">
        <w:t>-</w:t>
      </w:r>
      <w:r>
        <w:t>receptor</w:t>
      </w:r>
      <w:r w:rsidR="00A426A9">
        <w:t>,</w:t>
      </w:r>
      <w:r>
        <w:t xml:space="preserve"> som binder stofferne</w:t>
      </w:r>
      <w:r w:rsidRPr="001F742F">
        <w:t xml:space="preserve"> phenylthiocarbamide</w:t>
      </w:r>
      <w:r>
        <w:t xml:space="preserve"> (PTC) og</w:t>
      </w:r>
      <w:r w:rsidRPr="001F742F">
        <w:t xml:space="preserve"> 6-n-propylthiouracil (PROP)</w:t>
      </w:r>
      <w:r>
        <w:t xml:space="preserve">. De to stoffer er vist </w:t>
      </w:r>
      <w:r w:rsidR="000028A9">
        <w:t>i Figur 4</w:t>
      </w:r>
      <w:r>
        <w:t>.</w:t>
      </w:r>
      <w:r w:rsidR="007D40A8">
        <w:t xml:space="preserve"> </w:t>
      </w:r>
    </w:p>
    <w:p w14:paraId="64CFC111" w14:textId="77777777" w:rsidR="000028A9" w:rsidRDefault="001F742F" w:rsidP="000028A9">
      <w:pPr>
        <w:keepNext/>
        <w:ind w:firstLine="1304"/>
      </w:pPr>
      <w:r w:rsidRPr="001F742F">
        <w:rPr>
          <w:noProof/>
        </w:rPr>
        <w:drawing>
          <wp:inline distT="0" distB="0" distL="0" distR="0" wp14:anchorId="1DEF206E" wp14:editId="79BBEE27">
            <wp:extent cx="3143250" cy="1457325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718" t="25000" r="31720" b="32500"/>
                    <a:stretch/>
                  </pic:blipFill>
                  <pic:spPr bwMode="auto">
                    <a:xfrm>
                      <a:off x="0" y="0"/>
                      <a:ext cx="3143689" cy="1457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8F04D2" w14:textId="5CE9F5FB" w:rsidR="001F742F" w:rsidRDefault="000028A9" w:rsidP="000028A9">
      <w:pPr>
        <w:pStyle w:val="Billedtekst"/>
        <w:spacing w:after="360"/>
      </w:pPr>
      <w:r>
        <w:t xml:space="preserve">                            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996AB9">
        <w:rPr>
          <w:noProof/>
        </w:rPr>
        <w:t>4</w:t>
      </w:r>
      <w:r>
        <w:fldChar w:fldCharType="end"/>
      </w:r>
      <w:r>
        <w:t>. To kemiske forbindelser, som kan bindes til bitter-receptoren TAS2R38.</w:t>
      </w:r>
    </w:p>
    <w:p w14:paraId="6DB8CD52" w14:textId="4B6EBE36" w:rsidR="00D6538B" w:rsidRDefault="008F4FD4" w:rsidP="00A426A9">
      <w:pPr>
        <w:pStyle w:val="Listeafsnit"/>
        <w:numPr>
          <w:ilvl w:val="0"/>
          <w:numId w:val="2"/>
        </w:numPr>
        <w:rPr>
          <w:b/>
          <w:i/>
        </w:rPr>
      </w:pPr>
      <w:r w:rsidRPr="008F4FD4">
        <w:rPr>
          <w:b/>
          <w:i/>
        </w:rPr>
        <w:t>Giv på baggrund af strukturen for PROP og PTC et forslag til</w:t>
      </w:r>
      <w:r w:rsidR="000028A9">
        <w:rPr>
          <w:b/>
          <w:i/>
        </w:rPr>
        <w:t>,</w:t>
      </w:r>
      <w:r w:rsidRPr="008F4FD4">
        <w:rPr>
          <w:b/>
          <w:i/>
        </w:rPr>
        <w:t xml:space="preserve"> hvorfor TAS2R38 receptoren netop binder disse to stoffer</w:t>
      </w:r>
      <w:r>
        <w:rPr>
          <w:b/>
          <w:i/>
        </w:rPr>
        <w:t xml:space="preserve">. </w:t>
      </w:r>
    </w:p>
    <w:p w14:paraId="65A9A53E" w14:textId="178CD1D1" w:rsidR="00CC06AE" w:rsidRDefault="00CC06AE" w:rsidP="00CC06AE">
      <w:r w:rsidRPr="00CC06AE">
        <w:lastRenderedPageBreak/>
        <w:t xml:space="preserve">I en 3D model af receptoren har man forsøgt at finde </w:t>
      </w:r>
      <w:r>
        <w:t>frem til</w:t>
      </w:r>
      <w:r w:rsidR="000028A9">
        <w:t>,</w:t>
      </w:r>
      <w:r>
        <w:t xml:space="preserve"> hvordan de to smagsstoffer binder til receptoren.</w:t>
      </w:r>
      <w:r w:rsidR="00D15B45">
        <w:rPr>
          <w:rStyle w:val="Fodnotehenvisning"/>
        </w:rPr>
        <w:footnoteReference w:id="3"/>
      </w:r>
      <w:r>
        <w:t xml:space="preserve"> Dette er vist i </w:t>
      </w:r>
      <w:r w:rsidR="000028A9">
        <w:t>Figur 5 og 6</w:t>
      </w:r>
      <w:r>
        <w:t xml:space="preserve">. </w:t>
      </w:r>
      <w:r w:rsidR="007D40A8">
        <w:t>Her kan man i cirklerne se de aminosyrer</w:t>
      </w:r>
      <w:r w:rsidR="000028A9">
        <w:t>,</w:t>
      </w:r>
      <w:r w:rsidR="007D40A8">
        <w:t xml:space="preserve"> der i proteinet ligger tættest på smagsstoffet. Lyserøde aminosyrer er polære (hydrofile)</w:t>
      </w:r>
      <w:r w:rsidR="000028A9">
        <w:t>,</w:t>
      </w:r>
      <w:r w:rsidR="007D40A8">
        <w:t xml:space="preserve"> mens de grønne er upolære (hydrofobe). Endvidere er de vigtigste interaktioner mellem receptorens aminosyrer og smagsstoffet vist (blå streger er hydrogenbindinger, grønne streger er hydrofobe interaktioner). </w:t>
      </w:r>
    </w:p>
    <w:p w14:paraId="710B7E15" w14:textId="77777777" w:rsidR="000028A9" w:rsidRDefault="00A802BE" w:rsidP="000028A9">
      <w:pPr>
        <w:keepNext/>
      </w:pPr>
      <w:r w:rsidRPr="00A802BE">
        <w:rPr>
          <w:noProof/>
        </w:rPr>
        <w:drawing>
          <wp:inline distT="0" distB="0" distL="0" distR="0" wp14:anchorId="39AC5856" wp14:editId="23C5B2FC">
            <wp:extent cx="6095999" cy="3095625"/>
            <wp:effectExtent l="0" t="0" r="635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9722"/>
                    <a:stretch/>
                  </pic:blipFill>
                  <pic:spPr bwMode="auto">
                    <a:xfrm>
                      <a:off x="0" y="0"/>
                      <a:ext cx="6096851" cy="3096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352F70" w14:textId="6D9D449E" w:rsidR="00CC06AE" w:rsidRPr="000028A9" w:rsidRDefault="000028A9" w:rsidP="000028A9">
      <w:pPr>
        <w:pStyle w:val="Billedtekst"/>
      </w:pPr>
      <w:r w:rsidRPr="000028A9">
        <w:rPr>
          <w:lang w:val="en-US"/>
        </w:rPr>
        <w:t xml:space="preserve">Figur </w:t>
      </w:r>
      <w:r>
        <w:fldChar w:fldCharType="begin"/>
      </w:r>
      <w:r w:rsidRPr="000028A9">
        <w:rPr>
          <w:lang w:val="en-US"/>
        </w:rPr>
        <w:instrText xml:space="preserve"> SEQ Figur \* ARABIC </w:instrText>
      </w:r>
      <w:r>
        <w:fldChar w:fldCharType="separate"/>
      </w:r>
      <w:r w:rsidR="00996AB9">
        <w:rPr>
          <w:noProof/>
          <w:lang w:val="en-US"/>
        </w:rPr>
        <w:t>5</w:t>
      </w:r>
      <w:r>
        <w:fldChar w:fldCharType="end"/>
      </w:r>
      <w:r w:rsidRPr="000028A9">
        <w:rPr>
          <w:lang w:val="en-US"/>
        </w:rPr>
        <w:t xml:space="preserve">. </w:t>
      </w:r>
      <w:r w:rsidRPr="000028A9">
        <w:t xml:space="preserve">Illustration af stoffet </w:t>
      </w:r>
      <w:r w:rsidRPr="000028A9">
        <w:t>phenylthiocarbamide (PTC)</w:t>
      </w:r>
      <w:r w:rsidRPr="000028A9">
        <w:t xml:space="preserve"> bundet til </w:t>
      </w:r>
      <w:r>
        <w:t xml:space="preserve">bitter-receptoren </w:t>
      </w:r>
      <w:r w:rsidRPr="001F742F">
        <w:t>TAS2R38</w:t>
      </w:r>
      <w:r>
        <w:t>.</w:t>
      </w:r>
    </w:p>
    <w:p w14:paraId="0511BD83" w14:textId="77777777" w:rsidR="000028A9" w:rsidRDefault="00A802BE" w:rsidP="000028A9">
      <w:pPr>
        <w:keepNext/>
      </w:pPr>
      <w:r w:rsidRPr="00A802BE">
        <w:rPr>
          <w:noProof/>
        </w:rPr>
        <w:drawing>
          <wp:inline distT="0" distB="0" distL="0" distR="0" wp14:anchorId="72703BEB" wp14:editId="56B7A66C">
            <wp:extent cx="6095365" cy="2961951"/>
            <wp:effectExtent l="0" t="0" r="635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4445" b="9167"/>
                    <a:stretch/>
                  </pic:blipFill>
                  <pic:spPr bwMode="auto">
                    <a:xfrm>
                      <a:off x="0" y="0"/>
                      <a:ext cx="6096851" cy="2962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B88695" w14:textId="7DA537FE" w:rsidR="000028A9" w:rsidRPr="000028A9" w:rsidRDefault="000028A9" w:rsidP="000028A9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996AB9">
        <w:rPr>
          <w:noProof/>
        </w:rPr>
        <w:t>6</w:t>
      </w:r>
      <w:r>
        <w:fldChar w:fldCharType="end"/>
      </w:r>
      <w:r>
        <w:t xml:space="preserve">. </w:t>
      </w:r>
      <w:r w:rsidRPr="000028A9">
        <w:t xml:space="preserve">Illustration af stoffet </w:t>
      </w:r>
      <w:r w:rsidRPr="001F742F">
        <w:t>6-n-propylthiouracil (PROP)</w:t>
      </w:r>
      <w:r>
        <w:t xml:space="preserve"> </w:t>
      </w:r>
      <w:r w:rsidRPr="000028A9">
        <w:t xml:space="preserve">bundet til </w:t>
      </w:r>
      <w:r>
        <w:t xml:space="preserve">bitter-receptoren </w:t>
      </w:r>
      <w:r w:rsidRPr="001F742F">
        <w:t>TAS2R38</w:t>
      </w:r>
      <w:r>
        <w:t>.</w:t>
      </w:r>
    </w:p>
    <w:p w14:paraId="5162EDD8" w14:textId="05A70AC7" w:rsidR="007D40A8" w:rsidRPr="007D40A8" w:rsidRDefault="007D40A8" w:rsidP="00A426A9">
      <w:pPr>
        <w:pStyle w:val="Listeafsnit"/>
        <w:numPr>
          <w:ilvl w:val="0"/>
          <w:numId w:val="2"/>
        </w:numPr>
        <w:rPr>
          <w:b/>
          <w:i/>
        </w:rPr>
      </w:pPr>
      <w:r w:rsidRPr="007D40A8">
        <w:rPr>
          <w:b/>
          <w:i/>
        </w:rPr>
        <w:lastRenderedPageBreak/>
        <w:t xml:space="preserve">Giv </w:t>
      </w:r>
      <w:r>
        <w:rPr>
          <w:b/>
          <w:i/>
        </w:rPr>
        <w:t xml:space="preserve">ud fra </w:t>
      </w:r>
      <w:r w:rsidR="000028A9">
        <w:rPr>
          <w:b/>
          <w:i/>
        </w:rPr>
        <w:t>Fi</w:t>
      </w:r>
      <w:r>
        <w:rPr>
          <w:b/>
          <w:i/>
        </w:rPr>
        <w:t>gur</w:t>
      </w:r>
      <w:r w:rsidR="000028A9">
        <w:rPr>
          <w:b/>
          <w:i/>
        </w:rPr>
        <w:t xml:space="preserve"> 5 og 6</w:t>
      </w:r>
      <w:r>
        <w:rPr>
          <w:b/>
          <w:i/>
        </w:rPr>
        <w:t xml:space="preserve"> </w:t>
      </w:r>
      <w:r w:rsidRPr="007D40A8">
        <w:rPr>
          <w:b/>
          <w:i/>
        </w:rPr>
        <w:t>en mulig forklaring på</w:t>
      </w:r>
      <w:r w:rsidR="000028A9">
        <w:rPr>
          <w:b/>
          <w:i/>
        </w:rPr>
        <w:t>,</w:t>
      </w:r>
      <w:r w:rsidRPr="007D40A8">
        <w:rPr>
          <w:b/>
          <w:i/>
        </w:rPr>
        <w:t xml:space="preserve"> hvorfor PTC opleves som et mere bittert stof end PROP.</w:t>
      </w:r>
    </w:p>
    <w:p w14:paraId="5B4B550E" w14:textId="77777777" w:rsidR="001F742F" w:rsidRDefault="001F742F" w:rsidP="001F742F">
      <w:pPr>
        <w:pStyle w:val="Overskrift3"/>
      </w:pPr>
      <w:r>
        <w:t>PTC - en smagsjoker</w:t>
      </w:r>
    </w:p>
    <w:p w14:paraId="740ACEE7" w14:textId="790F8549" w:rsidR="00D6538B" w:rsidRDefault="001F742F" w:rsidP="00D6538B">
      <w:r>
        <w:t>Det har vist sig</w:t>
      </w:r>
      <w:r w:rsidR="000028A9">
        <w:t>,</w:t>
      </w:r>
      <w:r>
        <w:t xml:space="preserve"> at mens PTC af mange </w:t>
      </w:r>
      <w:r w:rsidR="00D6538B">
        <w:t>opfattes som et ekstremt bittert stof, er der andre</w:t>
      </w:r>
      <w:r w:rsidR="000028A9">
        <w:t>,</w:t>
      </w:r>
      <w:r w:rsidR="00D6538B">
        <w:t xml:space="preserve"> der slet ikke kan smage det. Faktisk har det vist sig</w:t>
      </w:r>
      <w:r w:rsidR="000028A9">
        <w:t>,</w:t>
      </w:r>
      <w:r w:rsidR="00D6538B">
        <w:t xml:space="preserve"> at omkring 30% af verdens befolkning ikke kan smage PTC</w:t>
      </w:r>
      <w:r w:rsidR="00D6538B">
        <w:rPr>
          <w:rStyle w:val="Fodnotehenvisning"/>
        </w:rPr>
        <w:footnoteReference w:id="4"/>
      </w:r>
      <w:r w:rsidR="00D6538B">
        <w:t xml:space="preserve">. Dette skyldes genetiske variationer i genet for </w:t>
      </w:r>
      <w:r w:rsidR="00D6538B" w:rsidRPr="001F742F">
        <w:t>TAS2R38</w:t>
      </w:r>
      <w:r w:rsidR="000028A9">
        <w:t>-</w:t>
      </w:r>
      <w:r w:rsidR="00D6538B">
        <w:t xml:space="preserve">receptoren. Der findes altså to varianter af genet for </w:t>
      </w:r>
      <w:r w:rsidR="00D6538B" w:rsidRPr="001F742F">
        <w:t>TAS2R38</w:t>
      </w:r>
      <w:r w:rsidR="000028A9">
        <w:t>-</w:t>
      </w:r>
      <w:r w:rsidR="00D6538B">
        <w:t xml:space="preserve">receptoren. En oversigt over forskelle i de to gener er vist i </w:t>
      </w:r>
      <w:r w:rsidR="000028A9">
        <w:t>Tabel 1.</w:t>
      </w:r>
      <w:r w:rsidR="00D6538B">
        <w:t xml:space="preserve"> </w:t>
      </w:r>
    </w:p>
    <w:p w14:paraId="48FDADDF" w14:textId="1C5DB74C" w:rsidR="000028A9" w:rsidRDefault="000028A9" w:rsidP="000028A9">
      <w:pPr>
        <w:pStyle w:val="Billedtekst"/>
        <w:keepNext/>
      </w:pPr>
      <w:r>
        <w:t xml:space="preserve">Tabel </w:t>
      </w:r>
      <w:r>
        <w:fldChar w:fldCharType="begin"/>
      </w:r>
      <w:r>
        <w:instrText xml:space="preserve"> SEQ Tabel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 Forskelle mellem to varianter af genet for bitter-receptoren TAS2R38.</w:t>
      </w:r>
      <w:r w:rsidR="00077427">
        <w:t xml:space="preserve"> PAV er den normale version, AVI er mutanten.</w:t>
      </w:r>
    </w:p>
    <w:tbl>
      <w:tblPr>
        <w:tblStyle w:val="Tabel-Gitter"/>
        <w:tblW w:w="5000" w:type="pct"/>
        <w:tblLook w:val="04A0" w:firstRow="1" w:lastRow="0" w:firstColumn="1" w:lastColumn="0" w:noHBand="0" w:noVBand="1"/>
      </w:tblPr>
      <w:tblGrid>
        <w:gridCol w:w="1473"/>
        <w:gridCol w:w="1069"/>
        <w:gridCol w:w="2274"/>
        <w:gridCol w:w="2407"/>
        <w:gridCol w:w="2405"/>
      </w:tblGrid>
      <w:tr w:rsidR="008F4FD4" w14:paraId="1368B749" w14:textId="77777777" w:rsidTr="000028A9">
        <w:tc>
          <w:tcPr>
            <w:tcW w:w="765" w:type="pct"/>
            <w:shd w:val="clear" w:color="auto" w:fill="BFBFBF" w:themeFill="background1" w:themeFillShade="BF"/>
          </w:tcPr>
          <w:p w14:paraId="5DB0656F" w14:textId="77777777" w:rsidR="008F4FD4" w:rsidRPr="00D6538B" w:rsidRDefault="008F4FD4" w:rsidP="001F742F">
            <w:pPr>
              <w:rPr>
                <w:b/>
              </w:rPr>
            </w:pPr>
            <w:r w:rsidRPr="00D6538B">
              <w:rPr>
                <w:b/>
              </w:rPr>
              <w:t>Variant</w:t>
            </w:r>
          </w:p>
        </w:tc>
        <w:tc>
          <w:tcPr>
            <w:tcW w:w="555" w:type="pct"/>
            <w:shd w:val="clear" w:color="auto" w:fill="BFBFBF" w:themeFill="background1" w:themeFillShade="BF"/>
          </w:tcPr>
          <w:p w14:paraId="5330345B" w14:textId="77777777" w:rsidR="008F4FD4" w:rsidRDefault="008F4FD4" w:rsidP="001F742F">
            <w:pPr>
              <w:rPr>
                <w:b/>
              </w:rPr>
            </w:pPr>
            <w:r>
              <w:rPr>
                <w:b/>
              </w:rPr>
              <w:t>PTC-smag</w:t>
            </w:r>
          </w:p>
        </w:tc>
        <w:tc>
          <w:tcPr>
            <w:tcW w:w="1181" w:type="pct"/>
            <w:shd w:val="clear" w:color="auto" w:fill="BFBFBF" w:themeFill="background1" w:themeFillShade="BF"/>
          </w:tcPr>
          <w:p w14:paraId="7B556983" w14:textId="77777777" w:rsidR="008F4FD4" w:rsidRPr="00D6538B" w:rsidRDefault="008F4FD4" w:rsidP="001F742F">
            <w:pPr>
              <w:rPr>
                <w:b/>
              </w:rPr>
            </w:pPr>
            <w:r>
              <w:rPr>
                <w:b/>
              </w:rPr>
              <w:t>Aminosyre nummer 49</w:t>
            </w:r>
          </w:p>
        </w:tc>
        <w:tc>
          <w:tcPr>
            <w:tcW w:w="1250" w:type="pct"/>
            <w:shd w:val="clear" w:color="auto" w:fill="BFBFBF" w:themeFill="background1" w:themeFillShade="BF"/>
          </w:tcPr>
          <w:p w14:paraId="16BDBA5B" w14:textId="77777777" w:rsidR="008F4FD4" w:rsidRPr="00D6538B" w:rsidRDefault="008F4FD4" w:rsidP="001F742F">
            <w:pPr>
              <w:rPr>
                <w:b/>
              </w:rPr>
            </w:pPr>
            <w:r>
              <w:rPr>
                <w:b/>
              </w:rPr>
              <w:t>Aminosyre nummer 262</w:t>
            </w:r>
          </w:p>
        </w:tc>
        <w:tc>
          <w:tcPr>
            <w:tcW w:w="1251" w:type="pct"/>
            <w:shd w:val="clear" w:color="auto" w:fill="BFBFBF" w:themeFill="background1" w:themeFillShade="BF"/>
          </w:tcPr>
          <w:p w14:paraId="07A300F7" w14:textId="77777777" w:rsidR="008F4FD4" w:rsidRPr="00D6538B" w:rsidRDefault="008F4FD4" w:rsidP="001F742F">
            <w:pPr>
              <w:rPr>
                <w:b/>
              </w:rPr>
            </w:pPr>
            <w:r>
              <w:rPr>
                <w:b/>
              </w:rPr>
              <w:t>Aminosyre nummer 296</w:t>
            </w:r>
          </w:p>
        </w:tc>
      </w:tr>
      <w:tr w:rsidR="008F4FD4" w14:paraId="24A03CD4" w14:textId="77777777" w:rsidTr="000028A9">
        <w:tc>
          <w:tcPr>
            <w:tcW w:w="765" w:type="pct"/>
          </w:tcPr>
          <w:p w14:paraId="334C1DCC" w14:textId="77777777" w:rsidR="008F4FD4" w:rsidRDefault="008F4FD4" w:rsidP="00D6538B">
            <w:r>
              <w:t>TAS2R38</w:t>
            </w:r>
            <w:r w:rsidRPr="00D6538B">
              <w:rPr>
                <w:vertAlign w:val="subscript"/>
              </w:rPr>
              <w:t>PAV</w:t>
            </w:r>
            <w:r>
              <w:t xml:space="preserve"> </w:t>
            </w:r>
          </w:p>
          <w:p w14:paraId="0A1FF062" w14:textId="77777777" w:rsidR="008F4FD4" w:rsidRDefault="008F4FD4" w:rsidP="001F742F"/>
        </w:tc>
        <w:tc>
          <w:tcPr>
            <w:tcW w:w="555" w:type="pct"/>
          </w:tcPr>
          <w:p w14:paraId="065587D8" w14:textId="77777777" w:rsidR="008F4FD4" w:rsidRDefault="008F4FD4" w:rsidP="001F742F">
            <w:r>
              <w:t>JA</w:t>
            </w:r>
          </w:p>
        </w:tc>
        <w:tc>
          <w:tcPr>
            <w:tcW w:w="1181" w:type="pct"/>
          </w:tcPr>
          <w:p w14:paraId="1A490B57" w14:textId="77777777" w:rsidR="008F4FD4" w:rsidRDefault="008F4FD4" w:rsidP="001F742F">
            <w:r>
              <w:t>Prolin</w:t>
            </w:r>
          </w:p>
        </w:tc>
        <w:tc>
          <w:tcPr>
            <w:tcW w:w="1250" w:type="pct"/>
          </w:tcPr>
          <w:p w14:paraId="7F44BFF9" w14:textId="77777777" w:rsidR="008F4FD4" w:rsidRDefault="008F4FD4" w:rsidP="001F742F">
            <w:r>
              <w:t>Alanin</w:t>
            </w:r>
          </w:p>
        </w:tc>
        <w:tc>
          <w:tcPr>
            <w:tcW w:w="1251" w:type="pct"/>
          </w:tcPr>
          <w:p w14:paraId="0B85BC94" w14:textId="77777777" w:rsidR="008F4FD4" w:rsidRDefault="008F4FD4" w:rsidP="001F742F">
            <w:r>
              <w:t>Valin</w:t>
            </w:r>
          </w:p>
        </w:tc>
      </w:tr>
      <w:tr w:rsidR="008F4FD4" w14:paraId="52CC453D" w14:textId="77777777" w:rsidTr="000028A9">
        <w:tc>
          <w:tcPr>
            <w:tcW w:w="765" w:type="pct"/>
          </w:tcPr>
          <w:p w14:paraId="324A5A4C" w14:textId="77777777" w:rsidR="008F4FD4" w:rsidRPr="00D6538B" w:rsidRDefault="008F4FD4" w:rsidP="00D6538B">
            <w:r>
              <w:t>TAS2R38</w:t>
            </w:r>
            <w:r w:rsidRPr="00D6538B">
              <w:rPr>
                <w:vertAlign w:val="subscript"/>
              </w:rPr>
              <w:t>AVI</w:t>
            </w:r>
          </w:p>
          <w:p w14:paraId="6976E1CF" w14:textId="77777777" w:rsidR="008F4FD4" w:rsidRDefault="008F4FD4" w:rsidP="001F742F"/>
        </w:tc>
        <w:tc>
          <w:tcPr>
            <w:tcW w:w="555" w:type="pct"/>
          </w:tcPr>
          <w:p w14:paraId="10C1B7FD" w14:textId="77777777" w:rsidR="008F4FD4" w:rsidRDefault="008F4FD4" w:rsidP="001F742F">
            <w:r>
              <w:t>NEJ</w:t>
            </w:r>
          </w:p>
        </w:tc>
        <w:tc>
          <w:tcPr>
            <w:tcW w:w="1181" w:type="pct"/>
          </w:tcPr>
          <w:p w14:paraId="72BC2D10" w14:textId="77777777" w:rsidR="008F4FD4" w:rsidRDefault="008F4FD4" w:rsidP="001F742F">
            <w:r>
              <w:t>Alanin</w:t>
            </w:r>
          </w:p>
        </w:tc>
        <w:tc>
          <w:tcPr>
            <w:tcW w:w="1250" w:type="pct"/>
          </w:tcPr>
          <w:p w14:paraId="3819BBF2" w14:textId="77777777" w:rsidR="008F4FD4" w:rsidRDefault="008F4FD4" w:rsidP="001F742F">
            <w:r>
              <w:t>Valin</w:t>
            </w:r>
          </w:p>
        </w:tc>
        <w:tc>
          <w:tcPr>
            <w:tcW w:w="1251" w:type="pct"/>
          </w:tcPr>
          <w:p w14:paraId="4E4BF394" w14:textId="77777777" w:rsidR="008F4FD4" w:rsidRDefault="008F4FD4" w:rsidP="001F742F">
            <w:r>
              <w:t>Isoleucin</w:t>
            </w:r>
          </w:p>
        </w:tc>
      </w:tr>
    </w:tbl>
    <w:p w14:paraId="01891226" w14:textId="77777777" w:rsidR="001F742F" w:rsidRDefault="001F742F" w:rsidP="001F742F"/>
    <w:p w14:paraId="0289FF3F" w14:textId="44DC8F9B" w:rsidR="00D6538B" w:rsidRPr="00D6538B" w:rsidRDefault="00D6538B" w:rsidP="00A426A9">
      <w:pPr>
        <w:pStyle w:val="Listeafsnit"/>
        <w:numPr>
          <w:ilvl w:val="0"/>
          <w:numId w:val="2"/>
        </w:numPr>
        <w:rPr>
          <w:b/>
          <w:i/>
        </w:rPr>
      </w:pPr>
      <w:r w:rsidRPr="00D6538B">
        <w:rPr>
          <w:b/>
          <w:i/>
        </w:rPr>
        <w:t xml:space="preserve">Hvordan </w:t>
      </w:r>
      <w:r w:rsidRPr="008F0FCA">
        <w:rPr>
          <w:b/>
          <w:i/>
        </w:rPr>
        <w:t>kan mutationer</w:t>
      </w:r>
      <w:r w:rsidR="008F0FCA">
        <w:rPr>
          <w:b/>
          <w:i/>
        </w:rPr>
        <w:t xml:space="preserve">ne </w:t>
      </w:r>
      <w:r w:rsidRPr="008F0FCA">
        <w:rPr>
          <w:b/>
          <w:i/>
        </w:rPr>
        <w:t>i genet</w:t>
      </w:r>
      <w:r w:rsidRPr="00D6538B">
        <w:rPr>
          <w:b/>
          <w:i/>
        </w:rPr>
        <w:t xml:space="preserve"> for TAS2R38 </w:t>
      </w:r>
      <w:r w:rsidR="000028A9">
        <w:rPr>
          <w:b/>
          <w:i/>
        </w:rPr>
        <w:t xml:space="preserve">(se Tabel 1) </w:t>
      </w:r>
      <w:r>
        <w:rPr>
          <w:b/>
          <w:i/>
        </w:rPr>
        <w:t xml:space="preserve">tænkes at </w:t>
      </w:r>
      <w:r w:rsidRPr="00D6538B">
        <w:rPr>
          <w:b/>
          <w:i/>
        </w:rPr>
        <w:t xml:space="preserve">ødelægge en persons evne til at smage PTC? </w:t>
      </w:r>
    </w:p>
    <w:p w14:paraId="0311B349" w14:textId="77777777" w:rsidR="00D6538B" w:rsidRPr="00D6538B" w:rsidRDefault="00D6538B" w:rsidP="00D6538B">
      <w:pPr>
        <w:pStyle w:val="Listeafsnit"/>
        <w:rPr>
          <w:b/>
          <w:i/>
        </w:rPr>
      </w:pPr>
    </w:p>
    <w:p w14:paraId="5917BA9D" w14:textId="277B9246" w:rsidR="00D6538B" w:rsidRDefault="00D6538B" w:rsidP="00A426A9">
      <w:pPr>
        <w:pStyle w:val="Listeafsnit"/>
        <w:numPr>
          <w:ilvl w:val="0"/>
          <w:numId w:val="2"/>
        </w:numPr>
        <w:rPr>
          <w:b/>
          <w:i/>
        </w:rPr>
      </w:pPr>
      <w:r w:rsidRPr="008F0FCA">
        <w:rPr>
          <w:b/>
          <w:i/>
        </w:rPr>
        <w:t xml:space="preserve">Vil </w:t>
      </w:r>
      <w:r w:rsidR="00A537A0">
        <w:rPr>
          <w:b/>
          <w:i/>
        </w:rPr>
        <w:t>den muterede genvariant</w:t>
      </w:r>
      <w:r w:rsidRPr="008F0FCA">
        <w:rPr>
          <w:b/>
          <w:i/>
        </w:rPr>
        <w:t xml:space="preserve"> nedarves</w:t>
      </w:r>
      <w:r w:rsidRPr="00D6538B">
        <w:rPr>
          <w:b/>
          <w:i/>
        </w:rPr>
        <w:t xml:space="preserve"> recessivt eller dominant? Begrund svar</w:t>
      </w:r>
      <w:r w:rsidR="000028A9">
        <w:rPr>
          <w:b/>
          <w:i/>
        </w:rPr>
        <w:t>et.</w:t>
      </w:r>
    </w:p>
    <w:p w14:paraId="7E5F0859" w14:textId="77777777" w:rsidR="00D6538B" w:rsidRPr="00D6538B" w:rsidRDefault="00D6538B" w:rsidP="00D6538B">
      <w:pPr>
        <w:pStyle w:val="Listeafsnit"/>
        <w:rPr>
          <w:b/>
          <w:i/>
        </w:rPr>
      </w:pPr>
    </w:p>
    <w:p w14:paraId="1ED033F9" w14:textId="5B6CEE52" w:rsidR="00D6538B" w:rsidRDefault="006330EF" w:rsidP="00D6538B">
      <w:r>
        <w:t>For at blive klogere på hvorfor folk med den nævnte mutation ikke kan smage PTC, lavede man en 3D model for bindingen mellem PTC og den muterede receptor (TAS2R38</w:t>
      </w:r>
      <w:r w:rsidRPr="00D6538B">
        <w:rPr>
          <w:vertAlign w:val="subscript"/>
        </w:rPr>
        <w:t>AVI</w:t>
      </w:r>
      <w:r>
        <w:t>)</w:t>
      </w:r>
      <w:r w:rsidR="00996AB9">
        <w:t>, se Figur 7.</w:t>
      </w:r>
    </w:p>
    <w:p w14:paraId="1565A857" w14:textId="77777777" w:rsidR="00996AB9" w:rsidRDefault="006330EF" w:rsidP="00996AB9">
      <w:pPr>
        <w:keepNext/>
      </w:pPr>
      <w:r w:rsidRPr="006330EF">
        <w:rPr>
          <w:noProof/>
        </w:rPr>
        <w:drawing>
          <wp:inline distT="0" distB="0" distL="0" distR="0" wp14:anchorId="5E786768" wp14:editId="156C87C6">
            <wp:extent cx="6095999" cy="3175000"/>
            <wp:effectExtent l="0" t="0" r="635" b="635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7407"/>
                    <a:stretch/>
                  </pic:blipFill>
                  <pic:spPr bwMode="auto">
                    <a:xfrm>
                      <a:off x="0" y="0"/>
                      <a:ext cx="6096851" cy="3175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C024F9" w14:textId="7C24F6D7" w:rsidR="00996AB9" w:rsidRPr="000028A9" w:rsidRDefault="00996AB9" w:rsidP="00996AB9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>
        <w:rPr>
          <w:noProof/>
        </w:rPr>
        <w:t>7</w:t>
      </w:r>
      <w:r>
        <w:fldChar w:fldCharType="end"/>
      </w:r>
      <w:r>
        <w:t>.</w:t>
      </w:r>
      <w:r w:rsidRPr="00996AB9">
        <w:t xml:space="preserve"> </w:t>
      </w:r>
      <w:r w:rsidRPr="000028A9">
        <w:t xml:space="preserve">Illustration af stoffet phenylthiocarbamide (PTC) bundet til </w:t>
      </w:r>
      <w:r>
        <w:t xml:space="preserve">en muteret variant (AVI) af </w:t>
      </w:r>
      <w:r>
        <w:t xml:space="preserve">bitter-receptoren </w:t>
      </w:r>
      <w:r w:rsidRPr="001F742F">
        <w:t>TAS2R38</w:t>
      </w:r>
      <w:r>
        <w:t>.</w:t>
      </w:r>
    </w:p>
    <w:p w14:paraId="346691D4" w14:textId="3F572293" w:rsidR="006330EF" w:rsidRDefault="006330EF" w:rsidP="00996AB9">
      <w:pPr>
        <w:pStyle w:val="Billedtekst"/>
      </w:pPr>
    </w:p>
    <w:p w14:paraId="5DF53899" w14:textId="0524C688" w:rsidR="00D6538B" w:rsidRDefault="006330EF" w:rsidP="00A426A9">
      <w:pPr>
        <w:pStyle w:val="Listeafsnit"/>
        <w:numPr>
          <w:ilvl w:val="0"/>
          <w:numId w:val="2"/>
        </w:numPr>
        <w:rPr>
          <w:b/>
          <w:i/>
        </w:rPr>
      </w:pPr>
      <w:r w:rsidRPr="006330EF">
        <w:rPr>
          <w:b/>
          <w:i/>
        </w:rPr>
        <w:t xml:space="preserve">Forklar ud fra </w:t>
      </w:r>
      <w:r w:rsidR="00996AB9">
        <w:rPr>
          <w:b/>
          <w:i/>
        </w:rPr>
        <w:t>F</w:t>
      </w:r>
      <w:r w:rsidRPr="006330EF">
        <w:rPr>
          <w:b/>
          <w:i/>
        </w:rPr>
        <w:t xml:space="preserve">igur </w:t>
      </w:r>
      <w:r w:rsidR="00996AB9">
        <w:rPr>
          <w:b/>
          <w:i/>
        </w:rPr>
        <w:t xml:space="preserve">7, </w:t>
      </w:r>
      <w:r w:rsidRPr="006330EF">
        <w:rPr>
          <w:b/>
          <w:i/>
        </w:rPr>
        <w:t>hvorfor personer med den muterede receptor ikke kan smage PTC.</w:t>
      </w:r>
    </w:p>
    <w:p w14:paraId="23892378" w14:textId="77777777" w:rsidR="006330EF" w:rsidRPr="006330EF" w:rsidRDefault="006330EF" w:rsidP="006330EF">
      <w:pPr>
        <w:pStyle w:val="Listeafsnit"/>
        <w:rPr>
          <w:b/>
          <w:i/>
        </w:rPr>
      </w:pPr>
    </w:p>
    <w:p w14:paraId="5F227CEC" w14:textId="577DEFF6" w:rsidR="006330EF" w:rsidRPr="006330EF" w:rsidRDefault="006330EF" w:rsidP="00A426A9">
      <w:pPr>
        <w:pStyle w:val="Listeafsnit"/>
        <w:numPr>
          <w:ilvl w:val="0"/>
          <w:numId w:val="2"/>
        </w:numPr>
        <w:rPr>
          <w:b/>
          <w:i/>
        </w:rPr>
      </w:pPr>
      <w:r w:rsidRPr="006330EF">
        <w:rPr>
          <w:b/>
          <w:i/>
        </w:rPr>
        <w:t>Hvilken af de tre mutationer (Prolin → Alanin</w:t>
      </w:r>
      <w:r w:rsidR="00B370BF">
        <w:rPr>
          <w:b/>
          <w:i/>
        </w:rPr>
        <w:t>;</w:t>
      </w:r>
      <w:r w:rsidRPr="006330EF">
        <w:rPr>
          <w:b/>
          <w:i/>
        </w:rPr>
        <w:t xml:space="preserve"> Alanin → Valin</w:t>
      </w:r>
      <w:r w:rsidR="00B370BF">
        <w:rPr>
          <w:b/>
          <w:i/>
        </w:rPr>
        <w:t>;</w:t>
      </w:r>
      <w:r w:rsidRPr="006330EF">
        <w:rPr>
          <w:b/>
          <w:i/>
        </w:rPr>
        <w:t xml:space="preserve"> Valin → Isoleucin) ser ud til at spille den vigtigste rolle?</w:t>
      </w:r>
    </w:p>
    <w:sectPr w:rsidR="006330EF" w:rsidRPr="006330EF" w:rsidSect="009868B7">
      <w:type w:val="continuous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50B645" w14:textId="77777777" w:rsidR="003E528B" w:rsidRDefault="003E528B" w:rsidP="0080483B">
      <w:pPr>
        <w:spacing w:after="0" w:line="240" w:lineRule="auto"/>
      </w:pPr>
      <w:r>
        <w:separator/>
      </w:r>
    </w:p>
  </w:endnote>
  <w:endnote w:type="continuationSeparator" w:id="0">
    <w:p w14:paraId="6735F560" w14:textId="77777777" w:rsidR="003E528B" w:rsidRDefault="003E528B" w:rsidP="008048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30728593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5C38BB4B" w14:textId="1B9F8D26" w:rsidR="009868B7" w:rsidRDefault="009868B7">
            <w:pPr>
              <w:pStyle w:val="Sidefod"/>
              <w:jc w:val="center"/>
            </w:pPr>
            <w:r>
              <w:t xml:space="preserve">Side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af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9870C22" w14:textId="77777777" w:rsidR="009868B7" w:rsidRDefault="009868B7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1AE63D" w14:textId="77777777" w:rsidR="003E528B" w:rsidRDefault="003E528B" w:rsidP="0080483B">
      <w:pPr>
        <w:spacing w:after="0" w:line="240" w:lineRule="auto"/>
      </w:pPr>
      <w:r>
        <w:separator/>
      </w:r>
    </w:p>
  </w:footnote>
  <w:footnote w:type="continuationSeparator" w:id="0">
    <w:p w14:paraId="697C843B" w14:textId="77777777" w:rsidR="003E528B" w:rsidRDefault="003E528B" w:rsidP="0080483B">
      <w:pPr>
        <w:spacing w:after="0" w:line="240" w:lineRule="auto"/>
      </w:pPr>
      <w:r>
        <w:continuationSeparator/>
      </w:r>
    </w:p>
  </w:footnote>
  <w:footnote w:id="1">
    <w:p w14:paraId="7D8C20B1" w14:textId="5854384F" w:rsidR="002B430C" w:rsidRPr="002B430C" w:rsidRDefault="002B430C">
      <w:pPr>
        <w:pStyle w:val="Fodnotetekst"/>
        <w:rPr>
          <w:lang w:val="en-US"/>
        </w:rPr>
      </w:pPr>
      <w:r>
        <w:rPr>
          <w:rStyle w:val="Fodnotehenvisning"/>
        </w:rPr>
        <w:footnoteRef/>
      </w:r>
      <w:r w:rsidRPr="002B430C">
        <w:rPr>
          <w:lang w:val="en-US"/>
        </w:rPr>
        <w:t xml:space="preserve"> </w:t>
      </w:r>
      <w:hyperlink r:id="rId1" w:history="1">
        <w:r w:rsidRPr="0020344D">
          <w:rPr>
            <w:rStyle w:val="Hyperlink"/>
            <w:lang w:val="en-US"/>
          </w:rPr>
          <w:t>https://www.nature.com/articles/nature.2012.11398</w:t>
        </w:r>
      </w:hyperlink>
    </w:p>
    <w:p w14:paraId="50C9D63B" w14:textId="77777777" w:rsidR="002B430C" w:rsidRPr="002B430C" w:rsidRDefault="002B430C">
      <w:pPr>
        <w:pStyle w:val="Fodnotetekst"/>
        <w:rPr>
          <w:lang w:val="en-US"/>
        </w:rPr>
      </w:pPr>
    </w:p>
  </w:footnote>
  <w:footnote w:id="2">
    <w:p w14:paraId="4BE7C6C1" w14:textId="55C09C3B" w:rsidR="002B430C" w:rsidRPr="002B430C" w:rsidRDefault="002B430C">
      <w:pPr>
        <w:pStyle w:val="Fodnotetekst"/>
        <w:rPr>
          <w:lang w:val="en-US"/>
        </w:rPr>
      </w:pPr>
      <w:r>
        <w:rPr>
          <w:rStyle w:val="Fodnotehenvisning"/>
        </w:rPr>
        <w:footnoteRef/>
      </w:r>
      <w:r w:rsidRPr="002B430C">
        <w:rPr>
          <w:lang w:val="en-US"/>
        </w:rPr>
        <w:t xml:space="preserve"> </w:t>
      </w:r>
      <w:hyperlink r:id="rId2" w:history="1">
        <w:r w:rsidRPr="002B430C">
          <w:rPr>
            <w:rStyle w:val="Hyperlink"/>
            <w:lang w:val="en-US"/>
          </w:rPr>
          <w:t>https://en.wikipedia.org/wiki/Taste</w:t>
        </w:r>
      </w:hyperlink>
    </w:p>
  </w:footnote>
  <w:footnote w:id="3">
    <w:p w14:paraId="547C0AF3" w14:textId="1DA70B8E" w:rsidR="00D15B45" w:rsidRPr="009868B7" w:rsidRDefault="00D15B45" w:rsidP="000028A9">
      <w:pPr>
        <w:rPr>
          <w:lang w:val="en-US"/>
        </w:rPr>
      </w:pPr>
      <w:r w:rsidRPr="00D15B45">
        <w:rPr>
          <w:rStyle w:val="Fodnotehenvisning"/>
        </w:rPr>
        <w:footnoteRef/>
      </w:r>
      <w:r w:rsidRPr="00A426A9">
        <w:rPr>
          <w:lang w:val="en-US"/>
        </w:rPr>
        <w:t xml:space="preserve"> </w:t>
      </w:r>
      <w:r w:rsidRPr="008F0FCA">
        <w:rPr>
          <w:sz w:val="20"/>
          <w:szCs w:val="20"/>
          <w:lang w:val="en-US"/>
        </w:rPr>
        <w:t xml:space="preserve">Tan et al. </w:t>
      </w:r>
      <w:r w:rsidR="008F0FCA">
        <w:rPr>
          <w:sz w:val="20"/>
          <w:szCs w:val="20"/>
          <w:lang w:val="en-US"/>
        </w:rPr>
        <w:t xml:space="preserve">(2012): </w:t>
      </w:r>
      <w:r w:rsidRPr="008F0FCA">
        <w:rPr>
          <w:sz w:val="20"/>
          <w:szCs w:val="20"/>
          <w:lang w:val="en-US"/>
        </w:rPr>
        <w:t>3D structure prediction of TAS2R38</w:t>
      </w:r>
      <w:r w:rsidRPr="008F0FCA">
        <w:rPr>
          <w:rStyle w:val="apple-converted-space"/>
          <w:rFonts w:cs="Arial"/>
          <w:color w:val="000000"/>
          <w:sz w:val="20"/>
          <w:szCs w:val="20"/>
          <w:lang w:val="en-US"/>
        </w:rPr>
        <w:t> </w:t>
      </w:r>
      <w:r w:rsidRPr="008F0FCA">
        <w:rPr>
          <w:rStyle w:val="highlight"/>
          <w:rFonts w:cs="Arial"/>
          <w:color w:val="000000"/>
          <w:sz w:val="20"/>
          <w:szCs w:val="20"/>
          <w:lang w:val="en-US"/>
        </w:rPr>
        <w:t>bitter</w:t>
      </w:r>
      <w:r w:rsidRPr="008F0FCA">
        <w:rPr>
          <w:rStyle w:val="apple-converted-space"/>
          <w:rFonts w:cs="Arial"/>
          <w:color w:val="000000"/>
          <w:sz w:val="20"/>
          <w:szCs w:val="20"/>
          <w:lang w:val="en-US"/>
        </w:rPr>
        <w:t> </w:t>
      </w:r>
      <w:r w:rsidRPr="008F0FCA">
        <w:rPr>
          <w:rStyle w:val="highlight"/>
          <w:rFonts w:cs="Arial"/>
          <w:color w:val="000000"/>
          <w:sz w:val="20"/>
          <w:szCs w:val="20"/>
          <w:lang w:val="en-US"/>
        </w:rPr>
        <w:t>receptors</w:t>
      </w:r>
      <w:r w:rsidRPr="008F0FCA">
        <w:rPr>
          <w:rStyle w:val="apple-converted-space"/>
          <w:rFonts w:cs="Arial"/>
          <w:color w:val="000000"/>
          <w:sz w:val="20"/>
          <w:szCs w:val="20"/>
          <w:lang w:val="en-US"/>
        </w:rPr>
        <w:t> </w:t>
      </w:r>
      <w:r w:rsidRPr="008F0FCA">
        <w:rPr>
          <w:sz w:val="20"/>
          <w:szCs w:val="20"/>
          <w:lang w:val="en-US"/>
        </w:rPr>
        <w:t>bound to agonists phenylthiocarbamide (PTC) and 6-n-propylthiouracil (PROP).</w:t>
      </w:r>
      <w:r w:rsidRPr="008F0FCA">
        <w:rPr>
          <w:rStyle w:val="Fodnotehenvisning"/>
          <w:sz w:val="20"/>
          <w:szCs w:val="20"/>
          <w:lang w:val="en-US"/>
        </w:rPr>
        <w:t xml:space="preserve"> </w:t>
      </w:r>
      <w:r w:rsidRPr="008F0FCA">
        <w:rPr>
          <w:rFonts w:cs="Arial"/>
          <w:sz w:val="20"/>
          <w:szCs w:val="20"/>
          <w:lang w:val="en-US"/>
        </w:rPr>
        <w:t>J Chem Inf Model.</w:t>
      </w:r>
    </w:p>
  </w:footnote>
  <w:footnote w:id="4">
    <w:p w14:paraId="35BCE358" w14:textId="77777777" w:rsidR="00D6538B" w:rsidRPr="008F0FCA" w:rsidRDefault="00D6538B">
      <w:pPr>
        <w:pStyle w:val="Fodnotetekst"/>
        <w:rPr>
          <w:lang w:val="en-US"/>
        </w:rPr>
      </w:pPr>
      <w:r>
        <w:rPr>
          <w:rStyle w:val="Fodnotehenvisning"/>
        </w:rPr>
        <w:footnoteRef/>
      </w:r>
      <w:r w:rsidRPr="008F0FCA">
        <w:rPr>
          <w:lang w:val="en-US"/>
        </w:rPr>
        <w:t xml:space="preserve"> </w:t>
      </w:r>
      <w:hyperlink r:id="rId3" w:history="1">
        <w:r w:rsidRPr="008F0FCA">
          <w:rPr>
            <w:rStyle w:val="Hyperlink"/>
            <w:lang w:val="en-US"/>
          </w:rPr>
          <w:t>http://en.wikipedia.org/wiki/Phenylthiocarbamide</w:t>
        </w:r>
      </w:hyperlink>
      <w:r w:rsidRPr="008F0FCA">
        <w:rPr>
          <w:lang w:val="en-US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992402"/>
    <w:multiLevelType w:val="hybridMultilevel"/>
    <w:tmpl w:val="1BACDBC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6314E7"/>
    <w:multiLevelType w:val="hybridMultilevel"/>
    <w:tmpl w:val="20640BC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9324B8"/>
    <w:multiLevelType w:val="hybridMultilevel"/>
    <w:tmpl w:val="AFA6E74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694357">
    <w:abstractNumId w:val="2"/>
  </w:num>
  <w:num w:numId="2" w16cid:durableId="403142729">
    <w:abstractNumId w:val="0"/>
  </w:num>
  <w:num w:numId="3" w16cid:durableId="3494571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2168"/>
    <w:rsid w:val="0000197F"/>
    <w:rsid w:val="000028A9"/>
    <w:rsid w:val="00032168"/>
    <w:rsid w:val="00032C38"/>
    <w:rsid w:val="00077427"/>
    <w:rsid w:val="001102D5"/>
    <w:rsid w:val="001F742F"/>
    <w:rsid w:val="002B430C"/>
    <w:rsid w:val="003C6054"/>
    <w:rsid w:val="003E528B"/>
    <w:rsid w:val="00405C38"/>
    <w:rsid w:val="00612D69"/>
    <w:rsid w:val="006330EF"/>
    <w:rsid w:val="00666390"/>
    <w:rsid w:val="00673CF5"/>
    <w:rsid w:val="007571A9"/>
    <w:rsid w:val="007D40A8"/>
    <w:rsid w:val="0080483B"/>
    <w:rsid w:val="008E793B"/>
    <w:rsid w:val="008F0FCA"/>
    <w:rsid w:val="008F4FD4"/>
    <w:rsid w:val="00915DFF"/>
    <w:rsid w:val="009868B7"/>
    <w:rsid w:val="00996AB9"/>
    <w:rsid w:val="009B294E"/>
    <w:rsid w:val="00A426A9"/>
    <w:rsid w:val="00A537A0"/>
    <w:rsid w:val="00A54392"/>
    <w:rsid w:val="00A67471"/>
    <w:rsid w:val="00A802BE"/>
    <w:rsid w:val="00AF2374"/>
    <w:rsid w:val="00B370BF"/>
    <w:rsid w:val="00B50A3F"/>
    <w:rsid w:val="00BC07E9"/>
    <w:rsid w:val="00BC5B0B"/>
    <w:rsid w:val="00CC06AE"/>
    <w:rsid w:val="00D15B45"/>
    <w:rsid w:val="00D27D4C"/>
    <w:rsid w:val="00D41995"/>
    <w:rsid w:val="00D6538B"/>
    <w:rsid w:val="00DB6542"/>
    <w:rsid w:val="00EC06F3"/>
    <w:rsid w:val="00F53E3F"/>
    <w:rsid w:val="00F64D63"/>
    <w:rsid w:val="00FC3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792B0"/>
  <w15:chartTrackingRefBased/>
  <w15:docId w15:val="{C92D5B3C-8E56-4237-AE0E-D4C4E5C90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03216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80483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66639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03216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Standardskrifttypeiafsnit"/>
    <w:uiPriority w:val="99"/>
    <w:unhideWhenUsed/>
    <w:rsid w:val="00032168"/>
    <w:rPr>
      <w:color w:val="0563C1" w:themeColor="hyperlink"/>
      <w:u w:val="single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80483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80483B"/>
    <w:pPr>
      <w:spacing w:after="0" w:line="240" w:lineRule="auto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80483B"/>
    <w:rPr>
      <w:sz w:val="20"/>
      <w:szCs w:val="20"/>
    </w:rPr>
  </w:style>
  <w:style w:type="character" w:styleId="Fodnotehenvisning">
    <w:name w:val="footnote reference"/>
    <w:basedOn w:val="Standardskrifttypeiafsnit"/>
    <w:uiPriority w:val="99"/>
    <w:semiHidden/>
    <w:unhideWhenUsed/>
    <w:rsid w:val="0080483B"/>
    <w:rPr>
      <w:vertAlign w:val="superscript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66639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Listeafsnit">
    <w:name w:val="List Paragraph"/>
    <w:basedOn w:val="Normal"/>
    <w:uiPriority w:val="34"/>
    <w:qFormat/>
    <w:rsid w:val="00BC5B0B"/>
    <w:pPr>
      <w:ind w:left="720"/>
      <w:contextualSpacing/>
    </w:pPr>
  </w:style>
  <w:style w:type="table" w:styleId="Tabel-Gitter">
    <w:name w:val="Table Grid"/>
    <w:basedOn w:val="Tabel-Normal"/>
    <w:uiPriority w:val="39"/>
    <w:rsid w:val="00D653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Standardskrifttypeiafsnit"/>
    <w:rsid w:val="00D15B45"/>
  </w:style>
  <w:style w:type="character" w:customStyle="1" w:styleId="highlight">
    <w:name w:val="highlight"/>
    <w:basedOn w:val="Standardskrifttypeiafsnit"/>
    <w:rsid w:val="00D15B45"/>
  </w:style>
  <w:style w:type="paragraph" w:styleId="Billedtekst">
    <w:name w:val="caption"/>
    <w:basedOn w:val="Normal"/>
    <w:next w:val="Normal"/>
    <w:uiPriority w:val="35"/>
    <w:unhideWhenUsed/>
    <w:qFormat/>
    <w:rsid w:val="00A426A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9868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868B7"/>
  </w:style>
  <w:style w:type="paragraph" w:styleId="Sidefod">
    <w:name w:val="footer"/>
    <w:basedOn w:val="Normal"/>
    <w:link w:val="SidefodTegn"/>
    <w:uiPriority w:val="99"/>
    <w:unhideWhenUsed/>
    <w:rsid w:val="009868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868B7"/>
  </w:style>
  <w:style w:type="character" w:styleId="Ulstomtale">
    <w:name w:val="Unresolved Mention"/>
    <w:basedOn w:val="Standardskrifttypeiafsnit"/>
    <w:uiPriority w:val="99"/>
    <w:semiHidden/>
    <w:unhideWhenUsed/>
    <w:rsid w:val="009868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843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en.wikipedia.org/wiki/Phenylthiocarbamide" TargetMode="External"/><Relationship Id="rId2" Type="http://schemas.openxmlformats.org/officeDocument/2006/relationships/hyperlink" Target="https://en.wikipedia.org/wiki/Taste" TargetMode="External"/><Relationship Id="rId1" Type="http://schemas.openxmlformats.org/officeDocument/2006/relationships/hyperlink" Target="https://www.nature.com/articles/nature.2012.11398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CF4D8-C73B-45BD-ACFD-112AC6E46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695</Words>
  <Characters>4241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IT-Center Fyn</Company>
  <LinksUpToDate>false</LinksUpToDate>
  <CharactersWithSpaces>4927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Haldbo</dc:creator>
  <cp:keywords/>
  <dc:description/>
  <cp:lastModifiedBy>Charlotte Skov</cp:lastModifiedBy>
  <cp:revision>10</cp:revision>
  <dcterms:created xsi:type="dcterms:W3CDTF">2024-08-23T07:26:00Z</dcterms:created>
  <dcterms:modified xsi:type="dcterms:W3CDTF">2025-02-23T14:59:00Z</dcterms:modified>
</cp:coreProperties>
</file>