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82D2" w14:textId="7AE3B04E" w:rsidR="00A93A2E" w:rsidRPr="00B44A0B" w:rsidRDefault="00B44A0B">
      <w:pPr>
        <w:rPr>
          <w:b/>
          <w:bCs/>
          <w:lang w:val="en-US"/>
        </w:rPr>
      </w:pPr>
      <w:r w:rsidRPr="00B44A0B">
        <w:rPr>
          <w:b/>
          <w:bCs/>
          <w:lang w:val="en-US"/>
        </w:rPr>
        <w:t>3y BI</w:t>
      </w:r>
      <w:r w:rsidRPr="00B44A0B">
        <w:rPr>
          <w:b/>
          <w:bCs/>
          <w:lang w:val="en-US"/>
        </w:rPr>
        <w:tab/>
        <w:t xml:space="preserve">                  Major Histocompatibility Complex I </w:t>
      </w:r>
      <w:proofErr w:type="spellStart"/>
      <w:r w:rsidRPr="00B44A0B">
        <w:rPr>
          <w:b/>
          <w:bCs/>
          <w:lang w:val="en-US"/>
        </w:rPr>
        <w:t>og</w:t>
      </w:r>
      <w:proofErr w:type="spellEnd"/>
      <w:r w:rsidRPr="00B44A0B">
        <w:rPr>
          <w:b/>
          <w:bCs/>
          <w:lang w:val="en-US"/>
        </w:rPr>
        <w:t xml:space="preserve"> II</w:t>
      </w:r>
      <w:r w:rsidRPr="00B44A0B">
        <w:rPr>
          <w:b/>
          <w:bCs/>
          <w:lang w:val="en-US"/>
        </w:rPr>
        <w:tab/>
        <w:t xml:space="preserve">        19. </w:t>
      </w:r>
      <w:proofErr w:type="spellStart"/>
      <w:r w:rsidRPr="00B44A0B">
        <w:rPr>
          <w:b/>
          <w:bCs/>
          <w:lang w:val="en-US"/>
        </w:rPr>
        <w:t>aug.</w:t>
      </w:r>
      <w:proofErr w:type="spellEnd"/>
      <w:r w:rsidRPr="00B44A0B">
        <w:rPr>
          <w:b/>
          <w:bCs/>
          <w:lang w:val="en-US"/>
        </w:rPr>
        <w:t xml:space="preserve"> 2025</w:t>
      </w:r>
      <w:r w:rsidRPr="00B44A0B">
        <w:rPr>
          <w:b/>
          <w:bCs/>
          <w:lang w:val="en-US"/>
        </w:rPr>
        <w:tab/>
      </w:r>
    </w:p>
    <w:p w14:paraId="35AC9FDE" w14:textId="5CDDC5BE" w:rsidR="00B44A0B" w:rsidRPr="00B44A0B" w:rsidRDefault="00B44A0B">
      <w:pPr>
        <w:rPr>
          <w:color w:val="FF0000"/>
        </w:rPr>
      </w:pPr>
      <w:r w:rsidRPr="00B44A0B">
        <w:rPr>
          <w:color w:val="FF0000"/>
        </w:rPr>
        <w:t>Google søgning på “</w:t>
      </w:r>
      <w:r w:rsidRPr="00B44A0B">
        <w:rPr>
          <w:color w:val="FF0000"/>
        </w:rPr>
        <w:t>mhc1</w:t>
      </w:r>
      <w:r w:rsidRPr="00B44A0B">
        <w:rPr>
          <w:color w:val="FF0000"/>
        </w:rPr>
        <w:t>” =&gt; dette AI-genererede svar:</w:t>
      </w:r>
    </w:p>
    <w:p w14:paraId="0A9C45F2" w14:textId="7A05F992" w:rsidR="00B44A0B" w:rsidRDefault="00B44A0B">
      <w:r>
        <w:t>”</w:t>
      </w:r>
      <w:r w:rsidRPr="00B44A0B">
        <w:rPr>
          <w:highlight w:val="yellow"/>
        </w:rPr>
        <w:t>MHC I</w:t>
      </w:r>
      <w:r w:rsidRPr="00B44A0B">
        <w:t xml:space="preserve">, eller Major </w:t>
      </w:r>
      <w:proofErr w:type="spellStart"/>
      <w:r w:rsidRPr="00B44A0B">
        <w:t>Histocompatibility</w:t>
      </w:r>
      <w:proofErr w:type="spellEnd"/>
      <w:r w:rsidRPr="00B44A0B">
        <w:t xml:space="preserve"> </w:t>
      </w:r>
      <w:proofErr w:type="spellStart"/>
      <w:r w:rsidRPr="00B44A0B">
        <w:t>Complex</w:t>
      </w:r>
      <w:proofErr w:type="spellEnd"/>
      <w:r w:rsidRPr="00B44A0B">
        <w:t xml:space="preserve"> klasse I, er en gruppe proteiner på overfladen af næsten alle kroppens celler. Deres primære funktion er at præsentere antigener (små fragmenter af proteiner) for immunsystemet, specifikt </w:t>
      </w:r>
      <w:proofErr w:type="spellStart"/>
      <w:r w:rsidRPr="00B44A0B">
        <w:fldChar w:fldCharType="begin"/>
      </w:r>
      <w:r w:rsidRPr="00B44A0B">
        <w:instrText>HYPERLINK "https://www.google.com/search?safe=active&amp;rlz=1C1GCEA_enDK1125DK1141&amp;cs=0&amp;sca_esv=37dc570b99b93daa&amp;q=cytotoksiske+T-celler&amp;sa=X&amp;ved=2ahUKEwjl9ZDJ8JaPAxXIbvEDHeThC4YQxccNegQIBBAB&amp;mstk=AUtExfBWLjjUc7q27jniQdGUte1XyfEe_XpmdwH5Q-cIFlWWRRrEpxeoRjvGx8wNatPWIyzlYWO9WeS_34gMJbsyeuJk9PEq9tl9gXx8OanFsDG6O7bRavo7Y_Aa9d1VfJQpt-0&amp;csui=3" \t "_blank"</w:instrText>
      </w:r>
      <w:r w:rsidRPr="00B44A0B">
        <w:fldChar w:fldCharType="separate"/>
      </w:r>
      <w:r w:rsidRPr="00B44A0B">
        <w:rPr>
          <w:rStyle w:val="Hyperlink"/>
        </w:rPr>
        <w:t>cytotoksiske</w:t>
      </w:r>
      <w:proofErr w:type="spellEnd"/>
      <w:r w:rsidRPr="00B44A0B">
        <w:rPr>
          <w:rStyle w:val="Hyperlink"/>
        </w:rPr>
        <w:t xml:space="preserve"> T-celler</w:t>
      </w:r>
      <w:r w:rsidRPr="00B44A0B">
        <w:fldChar w:fldCharType="end"/>
      </w:r>
      <w:r w:rsidRPr="00B44A0B">
        <w:t> (også kaldet </w:t>
      </w:r>
      <w:hyperlink r:id="rId5" w:tgtFrame="_blank" w:history="1">
        <w:r w:rsidRPr="00B44A0B">
          <w:rPr>
            <w:rStyle w:val="Hyperlink"/>
          </w:rPr>
          <w:t>CD8 T-celler</w:t>
        </w:r>
      </w:hyperlink>
      <w:r w:rsidRPr="00B44A0B">
        <w:t>). Dette hjælper immunsystemet med at identificere og eliminere inficerede eller unormale celler, såsom celler inficeret med vira eller cancerceller.</w:t>
      </w:r>
      <w:r>
        <w:t>”</w:t>
      </w:r>
      <w:r w:rsidRPr="00B44A0B">
        <w:t> </w:t>
      </w:r>
    </w:p>
    <w:p w14:paraId="60D4272B" w14:textId="5150F314" w:rsidR="00B44A0B" w:rsidRPr="00B44A0B" w:rsidRDefault="00B44A0B">
      <w:pPr>
        <w:rPr>
          <w:color w:val="FF0000"/>
        </w:rPr>
      </w:pPr>
      <w:r w:rsidRPr="00B44A0B">
        <w:rPr>
          <w:color w:val="FF0000"/>
        </w:rPr>
        <w:t>og</w:t>
      </w:r>
    </w:p>
    <w:p w14:paraId="6BAC1F22" w14:textId="46614E40" w:rsidR="00B44A0B" w:rsidRPr="00B44A0B" w:rsidRDefault="00B44A0B" w:rsidP="00B44A0B">
      <w:r w:rsidRPr="00B44A0B">
        <w:t>”</w:t>
      </w:r>
      <w:r w:rsidRPr="00B44A0B">
        <w:rPr>
          <w:b/>
          <w:bCs/>
        </w:rPr>
        <w:t>Forskelle mellem MHC I og MHC II:</w:t>
      </w:r>
    </w:p>
    <w:p w14:paraId="4533539D" w14:textId="35CAA367" w:rsidR="00B44A0B" w:rsidRPr="00B44A0B" w:rsidRDefault="00B44A0B" w:rsidP="00B44A0B">
      <w:r w:rsidRPr="00B44A0B">
        <w:t>I modsætning til MHC I, præsenterer </w:t>
      </w:r>
      <w:hyperlink r:id="rId6" w:tgtFrame="_blank" w:history="1">
        <w:r w:rsidRPr="00B44A0B">
          <w:rPr>
            <w:rStyle w:val="Hyperlink"/>
          </w:rPr>
          <w:t>MHC II</w:t>
        </w:r>
      </w:hyperlink>
      <w:r w:rsidRPr="00B44A0B">
        <w:t>-molekyler antigener, der stammer fra celler udefra (</w:t>
      </w:r>
      <w:proofErr w:type="spellStart"/>
      <w:r w:rsidRPr="00B44A0B">
        <w:t>exogene</w:t>
      </w:r>
      <w:proofErr w:type="spellEnd"/>
      <w:r w:rsidRPr="00B44A0B">
        <w:t xml:space="preserve"> antigener), og de findes primært på specifikke immunceller kaldet </w:t>
      </w:r>
      <w:hyperlink r:id="rId7" w:tgtFrame="_blank" w:history="1">
        <w:r w:rsidRPr="00B44A0B">
          <w:rPr>
            <w:rStyle w:val="Hyperlink"/>
          </w:rPr>
          <w:t>antigenpræsenterende celler</w:t>
        </w:r>
      </w:hyperlink>
      <w:r w:rsidRPr="00B44A0B">
        <w:t> (</w:t>
      </w:r>
      <w:proofErr w:type="spellStart"/>
      <w:r w:rsidRPr="00B44A0B">
        <w:t>APC'er</w:t>
      </w:r>
      <w:proofErr w:type="spellEnd"/>
      <w:r w:rsidRPr="00B44A0B">
        <w:t xml:space="preserve">), som f.eks. makrofager, </w:t>
      </w:r>
      <w:proofErr w:type="spellStart"/>
      <w:r w:rsidRPr="00B44A0B">
        <w:t>dendritiske</w:t>
      </w:r>
      <w:proofErr w:type="spellEnd"/>
      <w:r w:rsidRPr="00B44A0B">
        <w:t xml:space="preserve"> celler og B-celler.</w:t>
      </w:r>
      <w:r>
        <w:t>”</w:t>
      </w:r>
      <w:r w:rsidRPr="00B44A0B">
        <w:t> </w:t>
      </w:r>
    </w:p>
    <w:p w14:paraId="34E0A13A" w14:textId="77777777" w:rsidR="00B44A0B" w:rsidRDefault="00B44A0B"/>
    <w:p w14:paraId="346B14FB" w14:textId="121C52BD" w:rsidR="00B44A0B" w:rsidRPr="00B44A0B" w:rsidRDefault="00B44A0B" w:rsidP="00B44A0B">
      <w:pPr>
        <w:rPr>
          <w:color w:val="FF0000"/>
        </w:rPr>
      </w:pPr>
      <w:r w:rsidRPr="00B44A0B">
        <w:rPr>
          <w:color w:val="FF0000"/>
        </w:rPr>
        <w:t>Google søgning på “mhc</w:t>
      </w:r>
      <w:r w:rsidRPr="00B44A0B">
        <w:rPr>
          <w:color w:val="FF0000"/>
        </w:rPr>
        <w:t>2</w:t>
      </w:r>
      <w:r w:rsidRPr="00B44A0B">
        <w:rPr>
          <w:color w:val="FF0000"/>
        </w:rPr>
        <w:t>” =&gt; dette AI-genererede svar:</w:t>
      </w:r>
    </w:p>
    <w:p w14:paraId="3AA58A31" w14:textId="7A1CFE62" w:rsidR="00B44A0B" w:rsidRDefault="00B44A0B">
      <w:r>
        <w:t>”</w:t>
      </w:r>
      <w:r w:rsidRPr="00B44A0B">
        <w:rPr>
          <w:highlight w:val="yellow"/>
        </w:rPr>
        <w:t>MHCII</w:t>
      </w:r>
      <w:r w:rsidRPr="00B44A0B">
        <w:t xml:space="preserve">, eller major </w:t>
      </w:r>
      <w:proofErr w:type="spellStart"/>
      <w:r w:rsidRPr="00B44A0B">
        <w:t>histocompatibility</w:t>
      </w:r>
      <w:proofErr w:type="spellEnd"/>
      <w:r w:rsidRPr="00B44A0B">
        <w:t xml:space="preserve"> </w:t>
      </w:r>
      <w:proofErr w:type="spellStart"/>
      <w:r w:rsidRPr="00B44A0B">
        <w:t>complex</w:t>
      </w:r>
      <w:proofErr w:type="spellEnd"/>
      <w:r w:rsidRPr="00B44A0B">
        <w:t xml:space="preserve"> II, er en gruppe membranbundne proteiner, der præsenterer antigener for T-celler. MHCII-molekyler findes primært på overfladen af specialiserede immunceller som </w:t>
      </w:r>
      <w:proofErr w:type="spellStart"/>
      <w:r w:rsidRPr="00B44A0B">
        <w:fldChar w:fldCharType="begin"/>
      </w:r>
      <w:r w:rsidRPr="00B44A0B">
        <w:instrText>HYPERLINK "https://www.google.com/search?safe=active&amp;sca_esv=37dc570b99b93daa&amp;rlz=1C1GCEA_enDK1125DK1141&amp;cs=0&amp;q=dendritiske+celler&amp;sa=X&amp;ved=2ahUKEwjrwNbA8JaPAxU5VPEDHaUvGXUQxccNegQIAxAB&amp;mstk=AUtExfCqwRyJmWUiC2yGoci9JgYyXH5W7n_6UL-oswHnO__wlImv7m0oQXu0LowBkDs0arMP_sf0-xmlb-LWRzOXXRQYftat2I36JAkFXGVlpC5YzyIgXciMwveIz2iB06A6niU&amp;csui=3" \t "_blank"</w:instrText>
      </w:r>
      <w:r w:rsidRPr="00B44A0B">
        <w:fldChar w:fldCharType="separate"/>
      </w:r>
      <w:r w:rsidRPr="00B44A0B">
        <w:rPr>
          <w:rStyle w:val="Hyperlink"/>
        </w:rPr>
        <w:t>dendritiske</w:t>
      </w:r>
      <w:proofErr w:type="spellEnd"/>
      <w:r w:rsidRPr="00B44A0B">
        <w:rPr>
          <w:rStyle w:val="Hyperlink"/>
        </w:rPr>
        <w:t xml:space="preserve"> celler</w:t>
      </w:r>
      <w:r w:rsidRPr="00B44A0B">
        <w:fldChar w:fldCharType="end"/>
      </w:r>
      <w:r w:rsidRPr="00B44A0B">
        <w:t>, </w:t>
      </w:r>
      <w:hyperlink r:id="rId8" w:tgtFrame="_blank" w:history="1">
        <w:r w:rsidRPr="00B44A0B">
          <w:rPr>
            <w:rStyle w:val="Hyperlink"/>
          </w:rPr>
          <w:t>makrofager</w:t>
        </w:r>
      </w:hyperlink>
      <w:r w:rsidRPr="00B44A0B">
        <w:t> og </w:t>
      </w:r>
      <w:hyperlink r:id="rId9" w:tgtFrame="_blank" w:history="1">
        <w:r w:rsidRPr="00B44A0B">
          <w:rPr>
            <w:rStyle w:val="Hyperlink"/>
          </w:rPr>
          <w:t>B-celler</w:t>
        </w:r>
      </w:hyperlink>
      <w:r w:rsidRPr="00B44A0B">
        <w:t>. Disse celler tager antigener fra ekstracellulære stoffer, bearbejder dem, og præsenterer dem på MHCII-molekyler for at aktivere T-hjælperceller (CD4+ T-celler).</w:t>
      </w:r>
      <w:r>
        <w:t>”</w:t>
      </w:r>
    </w:p>
    <w:p w14:paraId="0EDCBBD4" w14:textId="162E2A63" w:rsidR="00B44A0B" w:rsidRPr="00B44A0B" w:rsidRDefault="00B44A0B">
      <w:pPr>
        <w:rPr>
          <w:color w:val="FF0000"/>
        </w:rPr>
      </w:pPr>
      <w:r w:rsidRPr="00B44A0B">
        <w:rPr>
          <w:color w:val="FF0000"/>
        </w:rPr>
        <w:t>og</w:t>
      </w:r>
    </w:p>
    <w:p w14:paraId="00E6ED53" w14:textId="2FB02E24" w:rsidR="00B44A0B" w:rsidRPr="00B44A0B" w:rsidRDefault="00B44A0B" w:rsidP="00B44A0B">
      <w:r w:rsidRPr="00B44A0B">
        <w:t>”</w:t>
      </w:r>
      <w:r w:rsidRPr="00B44A0B">
        <w:rPr>
          <w:b/>
          <w:bCs/>
        </w:rPr>
        <w:t>Antigenpræsentation:</w:t>
      </w:r>
    </w:p>
    <w:p w14:paraId="362B31D7" w14:textId="76968A75" w:rsidR="00B44A0B" w:rsidRDefault="00B44A0B" w:rsidP="00B44A0B">
      <w:r w:rsidRPr="00B44A0B">
        <w:t xml:space="preserve">MHCII-molekyler er ansvarlige for at præsentere antigener, der stammer fra ekstracellulære </w:t>
      </w:r>
      <w:proofErr w:type="spellStart"/>
      <w:r w:rsidRPr="00B44A0B">
        <w:t>patogener</w:t>
      </w:r>
      <w:proofErr w:type="spellEnd"/>
      <w:r w:rsidRPr="00B44A0B">
        <w:t xml:space="preserve"> (bakterier, virus, osv.).</w:t>
      </w:r>
      <w:r>
        <w:t>”</w:t>
      </w:r>
    </w:p>
    <w:p w14:paraId="2FFFFC0E" w14:textId="5F8D4D08" w:rsidR="00B44A0B" w:rsidRPr="00B44A0B" w:rsidRDefault="00B44A0B" w:rsidP="00B44A0B">
      <w:pPr>
        <w:rPr>
          <w:color w:val="FF0000"/>
        </w:rPr>
      </w:pPr>
      <w:r w:rsidRPr="00B44A0B">
        <w:rPr>
          <w:color w:val="FF0000"/>
        </w:rPr>
        <w:t>og</w:t>
      </w:r>
    </w:p>
    <w:p w14:paraId="53C10E8B" w14:textId="13269850" w:rsidR="00B44A0B" w:rsidRPr="00B44A0B" w:rsidRDefault="00B44A0B" w:rsidP="00B44A0B">
      <w:r w:rsidRPr="00B44A0B">
        <w:rPr>
          <w:b/>
          <w:bCs/>
        </w:rPr>
        <w:t>”</w:t>
      </w:r>
      <w:r w:rsidRPr="00B44A0B">
        <w:rPr>
          <w:b/>
          <w:bCs/>
        </w:rPr>
        <w:t>Vigtig rolle i immunforsvaret:</w:t>
      </w:r>
    </w:p>
    <w:p w14:paraId="38EB502A" w14:textId="54DC9839" w:rsidR="00B44A0B" w:rsidRDefault="00B44A0B">
      <w:r w:rsidRPr="00B44A0B">
        <w:t>MHCII-molekyler er afgørende for at koordinere og regulere immunsystemets respons på infektioner, da de er ansvarlige for at præsentere antigener for T-hjælperceller, som er nøgleaktører i immunsystemet.</w:t>
      </w:r>
      <w:r>
        <w:t>”</w:t>
      </w:r>
      <w:r w:rsidRPr="00B44A0B">
        <w:t> </w:t>
      </w:r>
    </w:p>
    <w:sectPr w:rsidR="00B44A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504DF"/>
    <w:multiLevelType w:val="multilevel"/>
    <w:tmpl w:val="1094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931B2"/>
    <w:multiLevelType w:val="multilevel"/>
    <w:tmpl w:val="92A6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F22D1"/>
    <w:multiLevelType w:val="multilevel"/>
    <w:tmpl w:val="DE50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464991">
    <w:abstractNumId w:val="0"/>
  </w:num>
  <w:num w:numId="2" w16cid:durableId="1607498226">
    <w:abstractNumId w:val="2"/>
  </w:num>
  <w:num w:numId="3" w16cid:durableId="192880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03F3C"/>
    <w:rsid w:val="00487CEF"/>
    <w:rsid w:val="00793471"/>
    <w:rsid w:val="0079692B"/>
    <w:rsid w:val="008A4B0E"/>
    <w:rsid w:val="00A93A2E"/>
    <w:rsid w:val="00B44A0B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76AC"/>
  <w15:chartTrackingRefBased/>
  <w15:docId w15:val="{DE11B56C-73D4-4708-998A-33CA4AAE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0B"/>
  </w:style>
  <w:style w:type="paragraph" w:styleId="Overskrift1">
    <w:name w:val="heading 1"/>
    <w:basedOn w:val="Normal"/>
    <w:next w:val="Normal"/>
    <w:link w:val="Overskrift1Tegn"/>
    <w:uiPriority w:val="9"/>
    <w:qFormat/>
    <w:rsid w:val="00B44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4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44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4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4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4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4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4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4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4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4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44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4A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4A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4A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4A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4A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4A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44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4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4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4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44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4A0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44A0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4A0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4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4A0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44A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44A0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4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5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afe=active&amp;sca_esv=37dc570b99b93daa&amp;rlz=1C1GCEA_enDK1125DK1141&amp;cs=0&amp;q=makrofager&amp;sa=X&amp;ved=2ahUKEwjrwNbA8JaPAxU5VPEDHaUvGXUQxccNegQIAxAC&amp;mstk=AUtExfCqwRyJmWUiC2yGoci9JgYyXH5W7n_6UL-oswHnO__wlImv7m0oQXu0LowBkDs0arMP_sf0-xmlb-LWRzOXXRQYftat2I36JAkFXGVlpC5YzyIgXciMwveIz2iB06A6niU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afe=active&amp;rlz=1C1GCEA_enDK1125DK1141&amp;cs=0&amp;sca_esv=37dc570b99b93daa&amp;q=antigenpr%C3%A6senterende+celler&amp;sa=X&amp;ved=2ahUKEwjl9ZDJ8JaPAxXIbvEDHeThC4YQxccNegQIGhAC&amp;mstk=AUtExfBWLjjUc7q27jniQdGUte1XyfEe_XpmdwH5Q-cIFlWWRRrEpxeoRjvGx8wNatPWIyzlYWO9WeS_34gMJbsyeuJk9PEq9tl9gXx8OanFsDG6O7bRavo7Y_Aa9d1VfJQpt-0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afe=active&amp;rlz=1C1GCEA_enDK1125DK1141&amp;cs=0&amp;sca_esv=37dc570b99b93daa&amp;q=MHC+II&amp;sa=X&amp;ved=2ahUKEwjl9ZDJ8JaPAxXIbvEDHeThC4YQxccNegQIGhAB&amp;mstk=AUtExfBWLjjUc7q27jniQdGUte1XyfEe_XpmdwH5Q-cIFlWWRRrEpxeoRjvGx8wNatPWIyzlYWO9WeS_34gMJbsyeuJk9PEq9tl9gXx8OanFsDG6O7bRavo7Y_Aa9d1VfJQpt-0&amp;csui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safe=active&amp;rlz=1C1GCEA_enDK1125DK1141&amp;cs=0&amp;sca_esv=37dc570b99b93daa&amp;q=CD8+T-celler&amp;sa=X&amp;ved=2ahUKEwjl9ZDJ8JaPAxXIbvEDHeThC4YQxccNegQIBBAC&amp;mstk=AUtExfBWLjjUc7q27jniQdGUte1XyfEe_XpmdwH5Q-cIFlWWRRrEpxeoRjvGx8wNatPWIyzlYWO9WeS_34gMJbsyeuJk9PEq9tl9gXx8OanFsDG6O7bRavo7Y_Aa9d1VfJQpt-0&amp;csui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afe=active&amp;sca_esv=37dc570b99b93daa&amp;rlz=1C1GCEA_enDK1125DK1141&amp;cs=0&amp;q=B-celler&amp;sa=X&amp;ved=2ahUKEwjrwNbA8JaPAxU5VPEDHaUvGXUQxccNegQIAxAD&amp;mstk=AUtExfCqwRyJmWUiC2yGoci9JgYyXH5W7n_6UL-oswHnO__wlImv7m0oQXu0LowBkDs0arMP_sf0-xmlb-LWRzOXXRQYftat2I36JAkFXGVlpC5YzyIgXciMwveIz2iB06A6niU&amp;csui=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587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2025-08-19T13:22:00Z</dcterms:created>
  <dcterms:modified xsi:type="dcterms:W3CDTF">2025-08-19T13:27:00Z</dcterms:modified>
</cp:coreProperties>
</file>