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080A" w14:textId="1CDF356E" w:rsidR="005C34DC" w:rsidRPr="00441F1F" w:rsidRDefault="005C34DC" w:rsidP="005C34DC">
      <w:pPr>
        <w:rPr>
          <w:b/>
          <w:bCs/>
          <w:noProof/>
        </w:rPr>
      </w:pPr>
      <w:r w:rsidRPr="00441F1F">
        <w:rPr>
          <w:b/>
          <w:bCs/>
          <w:noProof/>
        </w:rPr>
        <w:t>3y BI</w:t>
      </w:r>
      <w:r w:rsidRPr="00441F1F">
        <w:rPr>
          <w:b/>
          <w:bCs/>
          <w:noProof/>
        </w:rPr>
        <w:tab/>
      </w:r>
      <w:r>
        <w:rPr>
          <w:b/>
          <w:bCs/>
          <w:noProof/>
        </w:rPr>
        <w:t xml:space="preserve">      </w:t>
      </w:r>
      <w:r w:rsidRPr="00441F1F">
        <w:rPr>
          <w:b/>
          <w:bCs/>
          <w:noProof/>
        </w:rPr>
        <w:t xml:space="preserve">Værdien af et aktivt liv: </w:t>
      </w:r>
      <w:r>
        <w:rPr>
          <w:b/>
          <w:bCs/>
          <w:noProof/>
        </w:rPr>
        <w:t>Gasudveksling og -transport</w:t>
      </w:r>
      <w:r w:rsidRPr="00441F1F">
        <w:rPr>
          <w:b/>
          <w:bCs/>
          <w:noProof/>
        </w:rPr>
        <w:tab/>
      </w:r>
      <w:r>
        <w:rPr>
          <w:b/>
          <w:bCs/>
          <w:noProof/>
        </w:rPr>
        <w:t xml:space="preserve">          8</w:t>
      </w:r>
      <w:r w:rsidRPr="00441F1F">
        <w:rPr>
          <w:b/>
          <w:bCs/>
          <w:noProof/>
        </w:rPr>
        <w:t>. okt. 2025</w:t>
      </w:r>
    </w:p>
    <w:p w14:paraId="15B16331" w14:textId="77777777" w:rsidR="005C34DC" w:rsidRDefault="005C34DC" w:rsidP="005C34DC">
      <w:pPr>
        <w:spacing w:after="0"/>
        <w:rPr>
          <w:i/>
          <w:iCs/>
          <w:noProof/>
        </w:rPr>
      </w:pPr>
    </w:p>
    <w:p w14:paraId="5137166E" w14:textId="73AA24C3" w:rsidR="005C34DC" w:rsidRPr="00B477A9" w:rsidRDefault="005C34DC" w:rsidP="005C34DC">
      <w:pPr>
        <w:rPr>
          <w:b/>
          <w:bCs/>
          <w:i/>
          <w:iCs/>
          <w:noProof/>
        </w:rPr>
      </w:pPr>
      <w:r w:rsidRPr="00B477A9">
        <w:rPr>
          <w:b/>
          <w:bCs/>
          <w:i/>
          <w:iCs/>
          <w:noProof/>
        </w:rPr>
        <w:t>Lektie i Yubio A: afsnit 2.3.2</w:t>
      </w:r>
      <w:r>
        <w:rPr>
          <w:b/>
          <w:bCs/>
          <w:i/>
          <w:iCs/>
          <w:noProof/>
        </w:rPr>
        <w:t>-2.4.2</w:t>
      </w:r>
    </w:p>
    <w:p w14:paraId="49646CAD" w14:textId="77777777" w:rsidR="005C34DC" w:rsidRPr="00B477A9" w:rsidRDefault="005C34DC" w:rsidP="005C34DC">
      <w:pPr>
        <w:spacing w:after="0"/>
        <w:rPr>
          <w:i/>
          <w:iCs/>
          <w:noProof/>
        </w:rPr>
      </w:pPr>
      <w:r w:rsidRPr="00B477A9">
        <w:rPr>
          <w:i/>
          <w:iCs/>
          <w:noProof/>
        </w:rPr>
        <w:t>Sæt dig i din nye biologigruppe og besvar følgende opgaver skriftligt. Det er fint, hvis kun én er sekretær. Snak sammen om, hvad svaret er, og vent så, til sekretæren har noteret det, før I går videre med næste opgave.</w:t>
      </w:r>
      <w:r>
        <w:rPr>
          <w:i/>
          <w:iCs/>
          <w:noProof/>
        </w:rPr>
        <w:t xml:space="preserve"> Forsøg at holde fokus gennem opgavesættet, så vi har tid til forsøg.</w:t>
      </w:r>
    </w:p>
    <w:p w14:paraId="2CAA0636" w14:textId="77777777" w:rsidR="005C34DC" w:rsidRDefault="005C34DC" w:rsidP="005C34DC">
      <w:pPr>
        <w:rPr>
          <w:noProof/>
        </w:rPr>
      </w:pPr>
      <w:r>
        <w:rPr>
          <w:noProof/>
        </w:rPr>
        <w:t>______________________________________________________________________________________</w:t>
      </w:r>
    </w:p>
    <w:p w14:paraId="783A1891" w14:textId="4F6A2CA7" w:rsidR="0086137B" w:rsidRDefault="005C34DC" w:rsidP="0086137B">
      <w:pPr>
        <w:pStyle w:val="Listeafsnit"/>
        <w:numPr>
          <w:ilvl w:val="0"/>
          <w:numId w:val="1"/>
        </w:numPr>
      </w:pPr>
      <w:r>
        <w:t>Indåndingsluft indeholder ca. 21% ilt (</w:t>
      </w:r>
      <w:proofErr w:type="spellStart"/>
      <w:r>
        <w:t>dioxygen</w:t>
      </w:r>
      <w:proofErr w:type="spellEnd"/>
      <w:r>
        <w:t>, O</w:t>
      </w:r>
      <w:r w:rsidRPr="0086137B">
        <w:rPr>
          <w:vertAlign w:val="subscript"/>
        </w:rPr>
        <w:t>2</w:t>
      </w:r>
      <w:r>
        <w:t>) og 0,042</w:t>
      </w:r>
      <w:r w:rsidR="0086137B">
        <w:t>%</w:t>
      </w:r>
      <w:r>
        <w:t xml:space="preserve"> carbondioxid (CO</w:t>
      </w:r>
      <w:r w:rsidRPr="0086137B">
        <w:rPr>
          <w:vertAlign w:val="subscript"/>
        </w:rPr>
        <w:t>2</w:t>
      </w:r>
      <w:r>
        <w:t xml:space="preserve">). </w:t>
      </w:r>
      <w:r w:rsidR="0086137B">
        <w:t>Citat fra s. 98: ”</w:t>
      </w:r>
      <w:r w:rsidR="0086137B" w:rsidRPr="0086137B">
        <w:rPr>
          <w:i/>
          <w:iCs/>
        </w:rPr>
        <w:t>Vi bruger normalt højest 25% af den ilt, vi indånder</w:t>
      </w:r>
      <w:r w:rsidR="0086137B">
        <w:t xml:space="preserve">”. Opskriv og inddrag reaktionsskemaet for aerob respiration i beregningen af, hvor meget ilt og carbondioxid udåndingsluft typisk indeholder. </w:t>
      </w:r>
    </w:p>
    <w:p w14:paraId="613CD4A6" w14:textId="77777777" w:rsidR="00A36A9D" w:rsidRDefault="00A36A9D" w:rsidP="00A36A9D">
      <w:pPr>
        <w:pStyle w:val="Listeafsnit"/>
      </w:pPr>
    </w:p>
    <w:p w14:paraId="4A74D4F5" w14:textId="6FF3E8AC" w:rsidR="0086137B" w:rsidRDefault="0086137B" w:rsidP="005C34DC">
      <w:pPr>
        <w:pStyle w:val="Listeafsnit"/>
        <w:numPr>
          <w:ilvl w:val="0"/>
          <w:numId w:val="1"/>
        </w:numPr>
      </w:pPr>
      <w:r>
        <w:t>Se på Figur 2.4 og tjek, I forstår figurens symboler. Hvad er diameteren på et lunge-hårkar (lungekapillær)?</w:t>
      </w:r>
      <w:r w:rsidR="00A36A9D">
        <w:t xml:space="preserve"> Vurder så, hvilken af følgende illustrationer der er mest korrekt:</w:t>
      </w:r>
    </w:p>
    <w:p w14:paraId="124AA23E" w14:textId="77777777" w:rsidR="00493320" w:rsidRDefault="00493320" w:rsidP="00493320">
      <w:pPr>
        <w:pStyle w:val="Listeafsnit"/>
        <w:spacing w:after="0"/>
      </w:pPr>
    </w:p>
    <w:p w14:paraId="484B0034" w14:textId="229DF630" w:rsidR="00A36A9D" w:rsidRDefault="00A36A9D" w:rsidP="00493320">
      <w:pPr>
        <w:pStyle w:val="Listeafsnit"/>
        <w:spacing w:after="0"/>
      </w:pPr>
      <w:r w:rsidRPr="00A36A9D">
        <w:rPr>
          <w:noProof/>
        </w:rPr>
        <w:drawing>
          <wp:inline distT="0" distB="0" distL="0" distR="0" wp14:anchorId="1E0FF19D" wp14:editId="5EA0EE34">
            <wp:extent cx="2610434" cy="2216150"/>
            <wp:effectExtent l="0" t="0" r="0" b="0"/>
            <wp:docPr id="1158929644" name="Billede 1" descr="Et billede, der indeholder tekst, diagram, Font/skrifttype, tegning&#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29644" name="Billede 1" descr="Et billede, der indeholder tekst, diagram, Font/skrifttype, tegning&#10;&#10;Indhold genereret af kunstig intelligens kan være forkert."/>
                    <pic:cNvPicPr/>
                  </pic:nvPicPr>
                  <pic:blipFill>
                    <a:blip r:embed="rId7"/>
                    <a:stretch>
                      <a:fillRect/>
                    </a:stretch>
                  </pic:blipFill>
                  <pic:spPr>
                    <a:xfrm>
                      <a:off x="0" y="0"/>
                      <a:ext cx="2620298" cy="2224524"/>
                    </a:xfrm>
                    <a:prstGeom prst="rect">
                      <a:avLst/>
                    </a:prstGeom>
                  </pic:spPr>
                </pic:pic>
              </a:graphicData>
            </a:graphic>
          </wp:inline>
        </w:drawing>
      </w:r>
      <w:r>
        <w:t xml:space="preserve">       </w:t>
      </w:r>
      <w:r w:rsidRPr="00A36A9D">
        <w:rPr>
          <w:noProof/>
        </w:rPr>
        <w:drawing>
          <wp:inline distT="0" distB="0" distL="0" distR="0" wp14:anchorId="23D2A28C" wp14:editId="207C0502">
            <wp:extent cx="2785061" cy="2072180"/>
            <wp:effectExtent l="0" t="0" r="0" b="4445"/>
            <wp:docPr id="182595874" name="Billede 1" descr="Et billede, der indeholder tekst, skærmbillede, Font/skrifttype, cirke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5874" name="Billede 1" descr="Et billede, der indeholder tekst, skærmbillede, Font/skrifttype, cirkel&#10;&#10;Indhold genereret af kunstig intelligens kan være forkert."/>
                    <pic:cNvPicPr/>
                  </pic:nvPicPr>
                  <pic:blipFill>
                    <a:blip r:embed="rId8"/>
                    <a:stretch>
                      <a:fillRect/>
                    </a:stretch>
                  </pic:blipFill>
                  <pic:spPr>
                    <a:xfrm>
                      <a:off x="0" y="0"/>
                      <a:ext cx="2807609" cy="2088956"/>
                    </a:xfrm>
                    <a:prstGeom prst="rect">
                      <a:avLst/>
                    </a:prstGeom>
                  </pic:spPr>
                </pic:pic>
              </a:graphicData>
            </a:graphic>
          </wp:inline>
        </w:drawing>
      </w:r>
    </w:p>
    <w:p w14:paraId="0640A1DF" w14:textId="10BCBF92" w:rsidR="00493320" w:rsidRPr="00493320" w:rsidRDefault="00493320" w:rsidP="00493320">
      <w:pPr>
        <w:pStyle w:val="Listeafsnit"/>
        <w:spacing w:after="0"/>
        <w:rPr>
          <w:i/>
          <w:iCs/>
        </w:rPr>
      </w:pPr>
      <w:r w:rsidRPr="00493320">
        <w:rPr>
          <w:i/>
          <w:iCs/>
        </w:rPr>
        <w:t>Venstre figur.</w:t>
      </w:r>
      <w:r>
        <w:tab/>
      </w:r>
      <w:r>
        <w:tab/>
      </w:r>
      <w:r>
        <w:tab/>
      </w:r>
      <w:r w:rsidRPr="00493320">
        <w:rPr>
          <w:i/>
          <w:iCs/>
        </w:rPr>
        <w:t>Højre figur.</w:t>
      </w:r>
    </w:p>
    <w:p w14:paraId="4161B90B" w14:textId="0C67D41A" w:rsidR="00A36A9D" w:rsidRDefault="00493320" w:rsidP="00A36A9D">
      <w:pPr>
        <w:pStyle w:val="Listeafsnit"/>
      </w:pPr>
      <w:r>
        <w:t>(</w:t>
      </w:r>
      <w:r w:rsidRPr="00493320">
        <w:t>Ki</w:t>
      </w:r>
      <w:r w:rsidR="00A36A9D" w:rsidRPr="00493320">
        <w:t>lde</w:t>
      </w:r>
      <w:r>
        <w:t xml:space="preserve"> til begge figurer</w:t>
      </w:r>
      <w:r w:rsidR="00A36A9D" w:rsidRPr="00493320">
        <w:t xml:space="preserve">: </w:t>
      </w:r>
      <w:hyperlink r:id="rId9" w:history="1">
        <w:r w:rsidR="00A36A9D" w:rsidRPr="00493320">
          <w:rPr>
            <w:rStyle w:val="Hyperlink"/>
          </w:rPr>
          <w:t>https://www.detergodtatvide.dk/lunger-og-aandedraet/</w:t>
        </w:r>
      </w:hyperlink>
      <w:r>
        <w:t>)</w:t>
      </w:r>
    </w:p>
    <w:p w14:paraId="612CB6A8" w14:textId="77777777" w:rsidR="00A36A9D" w:rsidRDefault="00A36A9D" w:rsidP="00A36A9D">
      <w:pPr>
        <w:pStyle w:val="Listeafsnit"/>
      </w:pPr>
    </w:p>
    <w:p w14:paraId="3D5C6196" w14:textId="77777777" w:rsidR="00A36A9D" w:rsidRDefault="00A36A9D" w:rsidP="0086137B">
      <w:pPr>
        <w:pStyle w:val="Listeafsnit"/>
        <w:numPr>
          <w:ilvl w:val="0"/>
          <w:numId w:val="1"/>
        </w:numPr>
      </w:pPr>
      <w:r>
        <w:t>Se på Figur 2.5: læg mærke til, at der både er røde og blå pile. Tjek, hvad de betyder. (Senere i kapitlet vender vi tilbage til hjertets opbygning og funktion i detaljer.)</w:t>
      </w:r>
    </w:p>
    <w:p w14:paraId="7563FD5C" w14:textId="77777777" w:rsidR="00A36A9D" w:rsidRDefault="00A36A9D" w:rsidP="00A36A9D">
      <w:pPr>
        <w:pStyle w:val="Listeafsnit"/>
      </w:pPr>
    </w:p>
    <w:p w14:paraId="68C78517" w14:textId="7012B6D2" w:rsidR="0086137B" w:rsidRDefault="00A36A9D" w:rsidP="0086137B">
      <w:pPr>
        <w:pStyle w:val="Listeafsnit"/>
        <w:numPr>
          <w:ilvl w:val="0"/>
          <w:numId w:val="1"/>
        </w:numPr>
      </w:pPr>
      <w:r>
        <w:t>Ilten transporteres gennem blodkarsystemet på to måder: hvilke?</w:t>
      </w:r>
    </w:p>
    <w:p w14:paraId="68692447" w14:textId="77777777" w:rsidR="00A36A9D" w:rsidRDefault="00A36A9D" w:rsidP="00A36A9D">
      <w:pPr>
        <w:pStyle w:val="Listeafsnit"/>
      </w:pPr>
    </w:p>
    <w:p w14:paraId="2CDE54D4" w14:textId="2153EF07" w:rsidR="00A36A9D" w:rsidRDefault="00A36A9D" w:rsidP="0086137B">
      <w:pPr>
        <w:pStyle w:val="Listeafsnit"/>
        <w:numPr>
          <w:ilvl w:val="0"/>
          <w:numId w:val="1"/>
        </w:numPr>
      </w:pPr>
      <w:r>
        <w:t>Find et foto på nettet af en ”rød dansemyggelarve”</w:t>
      </w:r>
      <w:r w:rsidR="00002EDC">
        <w:t xml:space="preserve"> (</w:t>
      </w:r>
      <w:proofErr w:type="spellStart"/>
      <w:r w:rsidR="00002EDC" w:rsidRPr="00002EDC">
        <w:rPr>
          <w:i/>
          <w:iCs/>
        </w:rPr>
        <w:t>Chironomus</w:t>
      </w:r>
      <w:proofErr w:type="spellEnd"/>
      <w:r w:rsidR="00002EDC">
        <w:t xml:space="preserve"> </w:t>
      </w:r>
      <w:proofErr w:type="spellStart"/>
      <w:r w:rsidR="00002EDC">
        <w:t>sp</w:t>
      </w:r>
      <w:proofErr w:type="spellEnd"/>
      <w:r w:rsidR="00002EDC">
        <w:t>.)</w:t>
      </w:r>
      <w:r>
        <w:t>. Indsæt det her og skriv, hvorfor myggelarven er rød, og hvor den typisk lever:</w:t>
      </w:r>
    </w:p>
    <w:p w14:paraId="0A6B3EB8" w14:textId="77777777" w:rsidR="00A36A9D" w:rsidRDefault="00A36A9D" w:rsidP="00A36A9D">
      <w:pPr>
        <w:pStyle w:val="Listeafsnit"/>
      </w:pPr>
    </w:p>
    <w:p w14:paraId="324133C1" w14:textId="3BD6DFC6" w:rsidR="00A36A9D" w:rsidRDefault="00002EDC" w:rsidP="0086137B">
      <w:pPr>
        <w:pStyle w:val="Listeafsnit"/>
        <w:numPr>
          <w:ilvl w:val="0"/>
          <w:numId w:val="1"/>
        </w:numPr>
      </w:pPr>
      <w:r>
        <w:lastRenderedPageBreak/>
        <w:t>Hæmoglobin i de røde blodlegemer består af fire aminosyrekæder. Hvilket af de fire strukturniveauer for proteiner er der så tale om?</w:t>
      </w:r>
    </w:p>
    <w:p w14:paraId="4392240C" w14:textId="77777777" w:rsidR="00002EDC" w:rsidRDefault="00002EDC" w:rsidP="00002EDC">
      <w:pPr>
        <w:pStyle w:val="Listeafsnit"/>
      </w:pPr>
    </w:p>
    <w:p w14:paraId="4856C360" w14:textId="71751ACE" w:rsidR="00002EDC" w:rsidRDefault="00002EDC" w:rsidP="0086137B">
      <w:pPr>
        <w:pStyle w:val="Listeafsnit"/>
        <w:numPr>
          <w:ilvl w:val="0"/>
          <w:numId w:val="1"/>
        </w:numPr>
      </w:pPr>
      <w:r>
        <w:t>Hvor mange iltmolekyler (O</w:t>
      </w:r>
      <w:r w:rsidRPr="00002EDC">
        <w:rPr>
          <w:vertAlign w:val="subscript"/>
        </w:rPr>
        <w:t>2</w:t>
      </w:r>
      <w:r>
        <w:t>) kan hæmoglobin maksimalt binde? Se på Figur 2.6.</w:t>
      </w:r>
    </w:p>
    <w:p w14:paraId="60322ACB" w14:textId="77777777" w:rsidR="00002EDC" w:rsidRDefault="00002EDC" w:rsidP="00002EDC">
      <w:pPr>
        <w:pStyle w:val="Listeafsnit"/>
      </w:pPr>
    </w:p>
    <w:p w14:paraId="733F587A" w14:textId="38C83C03" w:rsidR="00002EDC" w:rsidRDefault="00002EDC" w:rsidP="0086137B">
      <w:pPr>
        <w:pStyle w:val="Listeafsnit"/>
        <w:numPr>
          <w:ilvl w:val="0"/>
          <w:numId w:val="1"/>
        </w:numPr>
      </w:pPr>
      <w:r>
        <w:t xml:space="preserve">Se på Figur 2.7: hvad er forskellen på </w:t>
      </w:r>
      <w:proofErr w:type="spellStart"/>
      <w:r>
        <w:t>deoxy</w:t>
      </w:r>
      <w:proofErr w:type="spellEnd"/>
      <w:r>
        <w:t xml:space="preserve">- og </w:t>
      </w:r>
      <w:proofErr w:type="spellStart"/>
      <w:r>
        <w:t>oxyhæmoglobin</w:t>
      </w:r>
      <w:proofErr w:type="spellEnd"/>
      <w:r>
        <w:t>?</w:t>
      </w:r>
    </w:p>
    <w:p w14:paraId="2B08F2FB" w14:textId="77777777" w:rsidR="00002EDC" w:rsidRDefault="00002EDC" w:rsidP="00002EDC">
      <w:pPr>
        <w:pStyle w:val="Listeafsnit"/>
      </w:pPr>
    </w:p>
    <w:p w14:paraId="129CF8FE" w14:textId="2BD8494C" w:rsidR="00002EDC" w:rsidRDefault="00002EDC" w:rsidP="0086137B">
      <w:pPr>
        <w:pStyle w:val="Listeafsnit"/>
        <w:numPr>
          <w:ilvl w:val="0"/>
          <w:numId w:val="1"/>
        </w:numPr>
      </w:pPr>
      <w:r>
        <w:t xml:space="preserve">Måske kan I måle iltmætningen i blodet vha. </w:t>
      </w:r>
      <w:proofErr w:type="spellStart"/>
      <w:r>
        <w:t>oximetre</w:t>
      </w:r>
      <w:proofErr w:type="spellEnd"/>
      <w:r>
        <w:t>, ligesom I gjorde i Østrig?</w:t>
      </w:r>
    </w:p>
    <w:tbl>
      <w:tblPr>
        <w:tblStyle w:val="Tabel-Gitter"/>
        <w:tblW w:w="0" w:type="auto"/>
        <w:tblInd w:w="720" w:type="dxa"/>
        <w:tblLook w:val="04A0" w:firstRow="1" w:lastRow="0" w:firstColumn="1" w:lastColumn="0" w:noHBand="0" w:noVBand="1"/>
      </w:tblPr>
      <w:tblGrid>
        <w:gridCol w:w="1827"/>
        <w:gridCol w:w="1358"/>
        <w:gridCol w:w="1430"/>
        <w:gridCol w:w="1431"/>
        <w:gridCol w:w="1431"/>
        <w:gridCol w:w="1431"/>
      </w:tblGrid>
      <w:tr w:rsidR="00002EDC" w14:paraId="534F02ED" w14:textId="77777777" w:rsidTr="00002EDC">
        <w:tc>
          <w:tcPr>
            <w:tcW w:w="1827" w:type="dxa"/>
          </w:tcPr>
          <w:p w14:paraId="5C29DFD2" w14:textId="6D303C74" w:rsidR="00002EDC" w:rsidRPr="00002EDC" w:rsidRDefault="00002EDC" w:rsidP="00002EDC">
            <w:pPr>
              <w:pStyle w:val="Listeafsnit"/>
              <w:ind w:left="0"/>
              <w:rPr>
                <w:b/>
                <w:bCs/>
              </w:rPr>
            </w:pPr>
            <w:r w:rsidRPr="00002EDC">
              <w:rPr>
                <w:b/>
                <w:bCs/>
              </w:rPr>
              <w:t>Elevnavn</w:t>
            </w:r>
          </w:p>
        </w:tc>
        <w:tc>
          <w:tcPr>
            <w:tcW w:w="1358" w:type="dxa"/>
          </w:tcPr>
          <w:p w14:paraId="5F7EF8EC" w14:textId="77777777" w:rsidR="00002EDC" w:rsidRDefault="00002EDC" w:rsidP="00002EDC">
            <w:pPr>
              <w:pStyle w:val="Listeafsnit"/>
              <w:ind w:left="0"/>
            </w:pPr>
          </w:p>
        </w:tc>
        <w:tc>
          <w:tcPr>
            <w:tcW w:w="1430" w:type="dxa"/>
          </w:tcPr>
          <w:p w14:paraId="4D7C73D9" w14:textId="1F5D75DA" w:rsidR="00002EDC" w:rsidRDefault="00002EDC" w:rsidP="00002EDC">
            <w:pPr>
              <w:pStyle w:val="Listeafsnit"/>
              <w:ind w:left="0"/>
            </w:pPr>
          </w:p>
        </w:tc>
        <w:tc>
          <w:tcPr>
            <w:tcW w:w="1431" w:type="dxa"/>
          </w:tcPr>
          <w:p w14:paraId="3A752FA3" w14:textId="77777777" w:rsidR="00002EDC" w:rsidRDefault="00002EDC" w:rsidP="00002EDC">
            <w:pPr>
              <w:pStyle w:val="Listeafsnit"/>
              <w:ind w:left="0"/>
            </w:pPr>
          </w:p>
        </w:tc>
        <w:tc>
          <w:tcPr>
            <w:tcW w:w="1431" w:type="dxa"/>
          </w:tcPr>
          <w:p w14:paraId="3CB157F5" w14:textId="77777777" w:rsidR="00002EDC" w:rsidRDefault="00002EDC" w:rsidP="00002EDC">
            <w:pPr>
              <w:pStyle w:val="Listeafsnit"/>
              <w:ind w:left="0"/>
            </w:pPr>
          </w:p>
        </w:tc>
        <w:tc>
          <w:tcPr>
            <w:tcW w:w="1431" w:type="dxa"/>
            <w:shd w:val="clear" w:color="auto" w:fill="CAEDFB" w:themeFill="accent4" w:themeFillTint="33"/>
          </w:tcPr>
          <w:p w14:paraId="7A882060" w14:textId="5E28ABA7" w:rsidR="00002EDC" w:rsidRPr="00002EDC" w:rsidRDefault="00002EDC" w:rsidP="00002EDC">
            <w:pPr>
              <w:pStyle w:val="Listeafsnit"/>
              <w:ind w:left="0"/>
              <w:rPr>
                <w:b/>
                <w:bCs/>
              </w:rPr>
            </w:pPr>
            <w:r w:rsidRPr="00002EDC">
              <w:rPr>
                <w:b/>
                <w:bCs/>
              </w:rPr>
              <w:t>Middel:</w:t>
            </w:r>
          </w:p>
        </w:tc>
      </w:tr>
      <w:tr w:rsidR="00002EDC" w14:paraId="5CAB57CB" w14:textId="77777777" w:rsidTr="00002EDC">
        <w:tc>
          <w:tcPr>
            <w:tcW w:w="1827" w:type="dxa"/>
          </w:tcPr>
          <w:p w14:paraId="19302846" w14:textId="53746CB7" w:rsidR="00002EDC" w:rsidRPr="00002EDC" w:rsidRDefault="00002EDC" w:rsidP="00002EDC">
            <w:pPr>
              <w:pStyle w:val="Listeafsnit"/>
              <w:ind w:left="0"/>
              <w:rPr>
                <w:b/>
                <w:bCs/>
              </w:rPr>
            </w:pPr>
            <w:r w:rsidRPr="00002EDC">
              <w:rPr>
                <w:b/>
                <w:bCs/>
              </w:rPr>
              <w:t>Iltmætning (%)</w:t>
            </w:r>
          </w:p>
        </w:tc>
        <w:tc>
          <w:tcPr>
            <w:tcW w:w="1358" w:type="dxa"/>
          </w:tcPr>
          <w:p w14:paraId="63998C13" w14:textId="77777777" w:rsidR="00002EDC" w:rsidRDefault="00002EDC" w:rsidP="00002EDC">
            <w:pPr>
              <w:pStyle w:val="Listeafsnit"/>
              <w:ind w:left="0"/>
            </w:pPr>
          </w:p>
        </w:tc>
        <w:tc>
          <w:tcPr>
            <w:tcW w:w="1430" w:type="dxa"/>
          </w:tcPr>
          <w:p w14:paraId="6785C7AA" w14:textId="25204F93" w:rsidR="00002EDC" w:rsidRDefault="00002EDC" w:rsidP="00002EDC">
            <w:pPr>
              <w:pStyle w:val="Listeafsnit"/>
              <w:ind w:left="0"/>
            </w:pPr>
          </w:p>
        </w:tc>
        <w:tc>
          <w:tcPr>
            <w:tcW w:w="1431" w:type="dxa"/>
          </w:tcPr>
          <w:p w14:paraId="1249B47B" w14:textId="77777777" w:rsidR="00002EDC" w:rsidRDefault="00002EDC" w:rsidP="00002EDC">
            <w:pPr>
              <w:pStyle w:val="Listeafsnit"/>
              <w:ind w:left="0"/>
            </w:pPr>
          </w:p>
        </w:tc>
        <w:tc>
          <w:tcPr>
            <w:tcW w:w="1431" w:type="dxa"/>
          </w:tcPr>
          <w:p w14:paraId="309D7F7E" w14:textId="77777777" w:rsidR="00002EDC" w:rsidRDefault="00002EDC" w:rsidP="00002EDC">
            <w:pPr>
              <w:pStyle w:val="Listeafsnit"/>
              <w:ind w:left="0"/>
            </w:pPr>
          </w:p>
        </w:tc>
        <w:tc>
          <w:tcPr>
            <w:tcW w:w="1431" w:type="dxa"/>
            <w:shd w:val="clear" w:color="auto" w:fill="CAEDFB" w:themeFill="accent4" w:themeFillTint="33"/>
          </w:tcPr>
          <w:p w14:paraId="2530D014" w14:textId="77777777" w:rsidR="00002EDC" w:rsidRDefault="00002EDC" w:rsidP="00002EDC">
            <w:pPr>
              <w:pStyle w:val="Listeafsnit"/>
              <w:ind w:left="0"/>
            </w:pPr>
          </w:p>
        </w:tc>
      </w:tr>
    </w:tbl>
    <w:p w14:paraId="0EFF2407" w14:textId="77777777" w:rsidR="00002EDC" w:rsidRDefault="00002EDC" w:rsidP="00002EDC">
      <w:pPr>
        <w:pStyle w:val="Listeafsnit"/>
      </w:pPr>
    </w:p>
    <w:p w14:paraId="6612552E" w14:textId="77777777" w:rsidR="006E6203" w:rsidRDefault="006E6203" w:rsidP="0086137B">
      <w:pPr>
        <w:pStyle w:val="Listeafsnit"/>
        <w:numPr>
          <w:ilvl w:val="0"/>
          <w:numId w:val="1"/>
        </w:numPr>
      </w:pPr>
      <w:r>
        <w:t>Udfyld tabellen her:</w:t>
      </w:r>
    </w:p>
    <w:tbl>
      <w:tblPr>
        <w:tblStyle w:val="Tabel-Gitter"/>
        <w:tblW w:w="0" w:type="auto"/>
        <w:tblInd w:w="720" w:type="dxa"/>
        <w:tblLook w:val="04A0" w:firstRow="1" w:lastRow="0" w:firstColumn="1" w:lastColumn="0" w:noHBand="0" w:noVBand="1"/>
      </w:tblPr>
      <w:tblGrid>
        <w:gridCol w:w="7922"/>
        <w:gridCol w:w="986"/>
      </w:tblGrid>
      <w:tr w:rsidR="006E6203" w14:paraId="0FAFC5B3" w14:textId="77777777" w:rsidTr="006E6203">
        <w:tc>
          <w:tcPr>
            <w:tcW w:w="7922" w:type="dxa"/>
          </w:tcPr>
          <w:p w14:paraId="6D379B7B" w14:textId="0FDF8168" w:rsidR="006E6203" w:rsidRDefault="006E6203" w:rsidP="006E6203">
            <w:r>
              <w:t>Hvis blodet er fuldmættet, hvor meget ilt indeholder det så (i %)?</w:t>
            </w:r>
          </w:p>
        </w:tc>
        <w:tc>
          <w:tcPr>
            <w:tcW w:w="986" w:type="dxa"/>
          </w:tcPr>
          <w:p w14:paraId="0954A7A3" w14:textId="77777777" w:rsidR="006E6203" w:rsidRDefault="006E6203" w:rsidP="006E6203">
            <w:pPr>
              <w:pStyle w:val="Listeafsnit"/>
              <w:ind w:left="0"/>
            </w:pPr>
          </w:p>
        </w:tc>
      </w:tr>
      <w:tr w:rsidR="006E6203" w14:paraId="22C86DD7" w14:textId="77777777" w:rsidTr="006E6203">
        <w:tc>
          <w:tcPr>
            <w:tcW w:w="7922" w:type="dxa"/>
          </w:tcPr>
          <w:p w14:paraId="65402151" w14:textId="0C74194C" w:rsidR="006E6203" w:rsidRDefault="006E6203" w:rsidP="006E6203">
            <w:r>
              <w:t>Hvor meget ilt (bundet til hæmoglobin) indeholder blodet i venerne i hvile? Dvs. hvad er mætningsgraden i %?</w:t>
            </w:r>
          </w:p>
        </w:tc>
        <w:tc>
          <w:tcPr>
            <w:tcW w:w="986" w:type="dxa"/>
          </w:tcPr>
          <w:p w14:paraId="684B1097" w14:textId="77777777" w:rsidR="006E6203" w:rsidRDefault="006E6203" w:rsidP="006E6203">
            <w:pPr>
              <w:pStyle w:val="Listeafsnit"/>
              <w:ind w:left="0"/>
            </w:pPr>
          </w:p>
        </w:tc>
      </w:tr>
      <w:tr w:rsidR="006E6203" w14:paraId="71F6B052" w14:textId="77777777" w:rsidTr="006E6203">
        <w:tc>
          <w:tcPr>
            <w:tcW w:w="7922" w:type="dxa"/>
          </w:tcPr>
          <w:p w14:paraId="7E2A83AE" w14:textId="5CFB3A05" w:rsidR="006E6203" w:rsidRDefault="006E6203" w:rsidP="006E6203">
            <w:r>
              <w:t>Hvor meget ilt (bundet til hæmoglobin) indeholder blodet i venerne under hårdt, fysisk arbejde? Dvs. hvad er mætningsgraden i %?</w:t>
            </w:r>
          </w:p>
        </w:tc>
        <w:tc>
          <w:tcPr>
            <w:tcW w:w="986" w:type="dxa"/>
          </w:tcPr>
          <w:p w14:paraId="400A9B5A" w14:textId="77777777" w:rsidR="006E6203" w:rsidRDefault="006E6203" w:rsidP="006E6203">
            <w:pPr>
              <w:pStyle w:val="Listeafsnit"/>
              <w:ind w:left="0"/>
            </w:pPr>
          </w:p>
        </w:tc>
      </w:tr>
    </w:tbl>
    <w:p w14:paraId="5039E0C6" w14:textId="77777777" w:rsidR="000E2A31" w:rsidRDefault="000E2A31" w:rsidP="000E2A31">
      <w:pPr>
        <w:pStyle w:val="Listeafsnit"/>
        <w:spacing w:after="0"/>
      </w:pPr>
    </w:p>
    <w:p w14:paraId="04755E25" w14:textId="159D2C03" w:rsidR="00002EDC" w:rsidRDefault="006E6203" w:rsidP="0086137B">
      <w:pPr>
        <w:pStyle w:val="Listeafsnit"/>
        <w:numPr>
          <w:ilvl w:val="0"/>
          <w:numId w:val="1"/>
        </w:numPr>
      </w:pPr>
      <w:r>
        <w:t>Hvad fik danskeren August Krogh Nobelprisen i medicin for i 1920?</w:t>
      </w:r>
    </w:p>
    <w:p w14:paraId="5D158B9F" w14:textId="77777777" w:rsidR="00002EDC" w:rsidRDefault="00002EDC" w:rsidP="00002EDC">
      <w:pPr>
        <w:pStyle w:val="Listeafsnit"/>
      </w:pPr>
    </w:p>
    <w:p w14:paraId="76560548" w14:textId="2548D025" w:rsidR="00002EDC" w:rsidRDefault="00493320" w:rsidP="0086137B">
      <w:pPr>
        <w:pStyle w:val="Listeafsnit"/>
        <w:numPr>
          <w:ilvl w:val="0"/>
          <w:numId w:val="1"/>
        </w:numPr>
      </w:pPr>
      <w:r>
        <w:t xml:space="preserve">Tekst med </w:t>
      </w:r>
      <w:r w:rsidRPr="00493320">
        <w:rPr>
          <w:highlight w:val="lightGray"/>
        </w:rPr>
        <w:t>grå baggrund</w:t>
      </w:r>
      <w:r>
        <w:t xml:space="preserve"> s. 101: Vi skal også lære om </w:t>
      </w:r>
      <w:proofErr w:type="spellStart"/>
      <w:r>
        <w:t>myoglobin</w:t>
      </w:r>
      <w:proofErr w:type="spellEnd"/>
      <w:r>
        <w:t>, men ikke lige nu…</w:t>
      </w:r>
    </w:p>
    <w:p w14:paraId="7A22705F" w14:textId="77777777" w:rsidR="00493320" w:rsidRDefault="00493320" w:rsidP="00493320">
      <w:pPr>
        <w:pStyle w:val="Listeafsnit"/>
      </w:pPr>
    </w:p>
    <w:p w14:paraId="6FBB290B" w14:textId="75087D61" w:rsidR="00493320" w:rsidRDefault="00493320" w:rsidP="0086137B">
      <w:pPr>
        <w:pStyle w:val="Listeafsnit"/>
        <w:numPr>
          <w:ilvl w:val="0"/>
          <w:numId w:val="1"/>
        </w:numPr>
      </w:pPr>
      <w:r>
        <w:t>Hvilke tre faktorer påvirker hæmoglobins iltaffinitet (ilt-af-fi-ni-</w:t>
      </w:r>
      <w:proofErr w:type="spellStart"/>
      <w:r>
        <w:t>tet</w:t>
      </w:r>
      <w:proofErr w:type="spellEnd"/>
      <w:r>
        <w:t>)?</w:t>
      </w:r>
    </w:p>
    <w:p w14:paraId="7265E7BC" w14:textId="77777777" w:rsidR="00493320" w:rsidRDefault="00493320" w:rsidP="00493320">
      <w:pPr>
        <w:pStyle w:val="Listeafsnit"/>
      </w:pPr>
    </w:p>
    <w:p w14:paraId="72318FC8" w14:textId="440A69F7" w:rsidR="00493320" w:rsidRDefault="00493320" w:rsidP="0086137B">
      <w:pPr>
        <w:pStyle w:val="Listeafsnit"/>
        <w:numPr>
          <w:ilvl w:val="0"/>
          <w:numId w:val="1"/>
        </w:numPr>
      </w:pPr>
      <w:r>
        <w:t>Hvad er Bohrskiftet eller Bohr-effekten?</w:t>
      </w:r>
    </w:p>
    <w:p w14:paraId="430980B3" w14:textId="77777777" w:rsidR="00493320" w:rsidRDefault="00493320" w:rsidP="00493320">
      <w:pPr>
        <w:pStyle w:val="Listeafsnit"/>
      </w:pPr>
    </w:p>
    <w:p w14:paraId="57ADD677" w14:textId="17378D86" w:rsidR="00493320" w:rsidRDefault="00493320" w:rsidP="0086137B">
      <w:pPr>
        <w:pStyle w:val="Listeafsnit"/>
        <w:numPr>
          <w:ilvl w:val="0"/>
          <w:numId w:val="1"/>
        </w:numPr>
      </w:pPr>
      <w:r>
        <w:t>Prøv at indsætte tallene 1-3 fra figurteksten på Figur 2.8 (held og lykke!)</w:t>
      </w:r>
    </w:p>
    <w:p w14:paraId="2B0C9F0E" w14:textId="77777777" w:rsidR="001E08A5" w:rsidRDefault="001E08A5" w:rsidP="001E08A5">
      <w:pPr>
        <w:pStyle w:val="Listeafsnit"/>
      </w:pPr>
    </w:p>
    <w:p w14:paraId="434E39CF" w14:textId="6E8221EA" w:rsidR="001E08A5" w:rsidRDefault="001E08A5" w:rsidP="0086137B">
      <w:pPr>
        <w:pStyle w:val="Listeafsnit"/>
        <w:numPr>
          <w:ilvl w:val="0"/>
          <w:numId w:val="1"/>
        </w:numPr>
      </w:pPr>
      <w:r>
        <w:t>Læs nu s. 103 sammen med din gruppe og hjælp hinanden med at forstå Figur 2.9. Begynd i figurens HØJRE side (ved 100% iltmætning) og arbejd jer så mod venstre.</w:t>
      </w:r>
    </w:p>
    <w:p w14:paraId="57AB34FE" w14:textId="77777777" w:rsidR="002635A1" w:rsidRDefault="002635A1" w:rsidP="002635A1">
      <w:pPr>
        <w:pStyle w:val="Listeafsnit"/>
      </w:pPr>
    </w:p>
    <w:p w14:paraId="624A4E50" w14:textId="2ACFAFF5" w:rsidR="002635A1" w:rsidRDefault="002635A1" w:rsidP="0086137B">
      <w:pPr>
        <w:pStyle w:val="Listeafsnit"/>
        <w:numPr>
          <w:ilvl w:val="0"/>
          <w:numId w:val="1"/>
        </w:numPr>
      </w:pPr>
      <w:r>
        <w:t>Skriv igen, med egne ord: hvad er Bohr-effekten, og hvorfor er den smart?</w:t>
      </w:r>
    </w:p>
    <w:p w14:paraId="106694BC" w14:textId="77777777" w:rsidR="002635A1" w:rsidRDefault="002635A1" w:rsidP="002635A1">
      <w:pPr>
        <w:pStyle w:val="Listeafsnit"/>
      </w:pPr>
    </w:p>
    <w:p w14:paraId="57090736" w14:textId="7CE5A112" w:rsidR="002635A1" w:rsidRDefault="002635A1" w:rsidP="0086137B">
      <w:pPr>
        <w:pStyle w:val="Listeafsnit"/>
        <w:numPr>
          <w:ilvl w:val="0"/>
          <w:numId w:val="1"/>
        </w:numPr>
      </w:pPr>
      <w:r>
        <w:t xml:space="preserve">Vi vender tilbage til blodkredsløbet senere i kapitlet. </w:t>
      </w:r>
      <w:r w:rsidR="000E2A31">
        <w:t>Opskriv</w:t>
      </w:r>
      <w:r>
        <w:t xml:space="preserve"> i stedet tre måder, hvorpå carbondioxid (CO</w:t>
      </w:r>
      <w:r w:rsidRPr="002635A1">
        <w:rPr>
          <w:vertAlign w:val="subscript"/>
        </w:rPr>
        <w:t>2</w:t>
      </w:r>
      <w:r>
        <w:t>) transporteres i blodet:</w:t>
      </w:r>
    </w:p>
    <w:p w14:paraId="2EED73F3" w14:textId="77777777" w:rsidR="000E2A31" w:rsidRDefault="000E2A31" w:rsidP="000E2A31">
      <w:pPr>
        <w:pStyle w:val="Listeafsnit"/>
      </w:pPr>
    </w:p>
    <w:p w14:paraId="50F2ECBC" w14:textId="793159B4" w:rsidR="00CF2EF5" w:rsidRDefault="000E2A31" w:rsidP="00CF2EF5">
      <w:pPr>
        <w:pStyle w:val="Listeafsnit"/>
        <w:numPr>
          <w:ilvl w:val="0"/>
          <w:numId w:val="1"/>
        </w:numPr>
      </w:pPr>
      <w:r>
        <w:t xml:space="preserve">Forklar nu Figur 2.10 for hinanden – særligt betydningen af </w:t>
      </w:r>
      <w:r>
        <w:t>kulsyre-ligevægten i de røde blodlegemer</w:t>
      </w:r>
      <w:r>
        <w:t xml:space="preserve"> og af hæmoglobin som buffer.</w:t>
      </w:r>
    </w:p>
    <w:sectPr w:rsidR="00CF2EF5">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F2C8" w14:textId="77777777" w:rsidR="00D07D5F" w:rsidRDefault="00D07D5F" w:rsidP="000E2A31">
      <w:pPr>
        <w:spacing w:after="0" w:line="240" w:lineRule="auto"/>
      </w:pPr>
      <w:r>
        <w:separator/>
      </w:r>
    </w:p>
  </w:endnote>
  <w:endnote w:type="continuationSeparator" w:id="0">
    <w:p w14:paraId="0C0E6A36" w14:textId="77777777" w:rsidR="00D07D5F" w:rsidRDefault="00D07D5F" w:rsidP="000E2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086826"/>
      <w:docPartObj>
        <w:docPartGallery w:val="Page Numbers (Bottom of Page)"/>
        <w:docPartUnique/>
      </w:docPartObj>
    </w:sdtPr>
    <w:sdtContent>
      <w:p w14:paraId="25EE1383" w14:textId="4B44D209" w:rsidR="000E2A31" w:rsidRDefault="000E2A31">
        <w:pPr>
          <w:pStyle w:val="Sidefod"/>
          <w:jc w:val="center"/>
        </w:pPr>
        <w:r>
          <w:fldChar w:fldCharType="begin"/>
        </w:r>
        <w:r>
          <w:instrText>PAGE   \* MERGEFORMAT</w:instrText>
        </w:r>
        <w:r>
          <w:fldChar w:fldCharType="separate"/>
        </w:r>
        <w:r>
          <w:t>2</w:t>
        </w:r>
        <w:r>
          <w:fldChar w:fldCharType="end"/>
        </w:r>
      </w:p>
    </w:sdtContent>
  </w:sdt>
  <w:p w14:paraId="00C6AAB4" w14:textId="77777777" w:rsidR="000E2A31" w:rsidRDefault="000E2A3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F8778" w14:textId="77777777" w:rsidR="00D07D5F" w:rsidRDefault="00D07D5F" w:rsidP="000E2A31">
      <w:pPr>
        <w:spacing w:after="0" w:line="240" w:lineRule="auto"/>
      </w:pPr>
      <w:r>
        <w:separator/>
      </w:r>
    </w:p>
  </w:footnote>
  <w:footnote w:type="continuationSeparator" w:id="0">
    <w:p w14:paraId="4259E78A" w14:textId="77777777" w:rsidR="00D07D5F" w:rsidRDefault="00D07D5F" w:rsidP="000E2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6237"/>
    <w:multiLevelType w:val="hybridMultilevel"/>
    <w:tmpl w:val="EC3A121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64127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DC"/>
    <w:rsid w:val="00002EDC"/>
    <w:rsid w:val="00003F3C"/>
    <w:rsid w:val="000E2A31"/>
    <w:rsid w:val="001973E2"/>
    <w:rsid w:val="001E08A5"/>
    <w:rsid w:val="002635A1"/>
    <w:rsid w:val="00493320"/>
    <w:rsid w:val="00581033"/>
    <w:rsid w:val="005C34DC"/>
    <w:rsid w:val="006E6203"/>
    <w:rsid w:val="0079692B"/>
    <w:rsid w:val="0086137B"/>
    <w:rsid w:val="008A4B0E"/>
    <w:rsid w:val="00A36A9D"/>
    <w:rsid w:val="00A93A2E"/>
    <w:rsid w:val="00CF2EF5"/>
    <w:rsid w:val="00D07D5F"/>
    <w:rsid w:val="00F53E29"/>
    <w:rsid w:val="00FC450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1C30"/>
  <w15:chartTrackingRefBased/>
  <w15:docId w15:val="{AC16E84E-1D22-4089-AA2F-3263A232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203"/>
  </w:style>
  <w:style w:type="paragraph" w:styleId="Overskrift1">
    <w:name w:val="heading 1"/>
    <w:basedOn w:val="Normal"/>
    <w:next w:val="Normal"/>
    <w:link w:val="Overskrift1Tegn"/>
    <w:uiPriority w:val="9"/>
    <w:qFormat/>
    <w:rsid w:val="005C3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C3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C34D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C34D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C34D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C34D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C34D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C34D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C34D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C34D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C34D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C34D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C34D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C34D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C34D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C34D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C34D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C34DC"/>
    <w:rPr>
      <w:rFonts w:eastAsiaTheme="majorEastAsia" w:cstheme="majorBidi"/>
      <w:color w:val="272727" w:themeColor="text1" w:themeTint="D8"/>
    </w:rPr>
  </w:style>
  <w:style w:type="paragraph" w:styleId="Titel">
    <w:name w:val="Title"/>
    <w:basedOn w:val="Normal"/>
    <w:next w:val="Normal"/>
    <w:link w:val="TitelTegn"/>
    <w:uiPriority w:val="10"/>
    <w:qFormat/>
    <w:rsid w:val="005C3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C34D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C34D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C34D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C34D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C34DC"/>
    <w:rPr>
      <w:i/>
      <w:iCs/>
      <w:color w:val="404040" w:themeColor="text1" w:themeTint="BF"/>
    </w:rPr>
  </w:style>
  <w:style w:type="paragraph" w:styleId="Listeafsnit">
    <w:name w:val="List Paragraph"/>
    <w:basedOn w:val="Normal"/>
    <w:uiPriority w:val="34"/>
    <w:qFormat/>
    <w:rsid w:val="005C34DC"/>
    <w:pPr>
      <w:ind w:left="720"/>
      <w:contextualSpacing/>
    </w:pPr>
  </w:style>
  <w:style w:type="character" w:styleId="Kraftigfremhvning">
    <w:name w:val="Intense Emphasis"/>
    <w:basedOn w:val="Standardskrifttypeiafsnit"/>
    <w:uiPriority w:val="21"/>
    <w:qFormat/>
    <w:rsid w:val="005C34DC"/>
    <w:rPr>
      <w:i/>
      <w:iCs/>
      <w:color w:val="0F4761" w:themeColor="accent1" w:themeShade="BF"/>
    </w:rPr>
  </w:style>
  <w:style w:type="paragraph" w:styleId="Strktcitat">
    <w:name w:val="Intense Quote"/>
    <w:basedOn w:val="Normal"/>
    <w:next w:val="Normal"/>
    <w:link w:val="StrktcitatTegn"/>
    <w:uiPriority w:val="30"/>
    <w:qFormat/>
    <w:rsid w:val="005C3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C34DC"/>
    <w:rPr>
      <w:i/>
      <w:iCs/>
      <w:color w:val="0F4761" w:themeColor="accent1" w:themeShade="BF"/>
    </w:rPr>
  </w:style>
  <w:style w:type="character" w:styleId="Kraftighenvisning">
    <w:name w:val="Intense Reference"/>
    <w:basedOn w:val="Standardskrifttypeiafsnit"/>
    <w:uiPriority w:val="32"/>
    <w:qFormat/>
    <w:rsid w:val="005C34DC"/>
    <w:rPr>
      <w:b/>
      <w:bCs/>
      <w:smallCaps/>
      <w:color w:val="0F4761" w:themeColor="accent1" w:themeShade="BF"/>
      <w:spacing w:val="5"/>
    </w:rPr>
  </w:style>
  <w:style w:type="character" w:styleId="Hyperlink">
    <w:name w:val="Hyperlink"/>
    <w:basedOn w:val="Standardskrifttypeiafsnit"/>
    <w:uiPriority w:val="99"/>
    <w:unhideWhenUsed/>
    <w:rsid w:val="0086137B"/>
    <w:rPr>
      <w:color w:val="467886" w:themeColor="hyperlink"/>
      <w:u w:val="single"/>
    </w:rPr>
  </w:style>
  <w:style w:type="character" w:styleId="Ulstomtale">
    <w:name w:val="Unresolved Mention"/>
    <w:basedOn w:val="Standardskrifttypeiafsnit"/>
    <w:uiPriority w:val="99"/>
    <w:semiHidden/>
    <w:unhideWhenUsed/>
    <w:rsid w:val="0086137B"/>
    <w:rPr>
      <w:color w:val="605E5C"/>
      <w:shd w:val="clear" w:color="auto" w:fill="E1DFDD"/>
    </w:rPr>
  </w:style>
  <w:style w:type="table" w:styleId="Tabel-Gitter">
    <w:name w:val="Table Grid"/>
    <w:basedOn w:val="Tabel-Normal"/>
    <w:uiPriority w:val="39"/>
    <w:rsid w:val="00002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0E2A3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E2A31"/>
  </w:style>
  <w:style w:type="paragraph" w:styleId="Sidefod">
    <w:name w:val="footer"/>
    <w:basedOn w:val="Normal"/>
    <w:link w:val="SidefodTegn"/>
    <w:uiPriority w:val="99"/>
    <w:unhideWhenUsed/>
    <w:rsid w:val="000E2A3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E2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etergodtatvide.dk/lunger-og-aandedra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441</Words>
  <Characters>2694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3</cp:revision>
  <dcterms:created xsi:type="dcterms:W3CDTF">2025-10-07T19:28:00Z</dcterms:created>
  <dcterms:modified xsi:type="dcterms:W3CDTF">2025-10-07T20:49:00Z</dcterms:modified>
</cp:coreProperties>
</file>