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472D5" w14:textId="77777777" w:rsidR="00FB69C2" w:rsidRPr="00CD67D1" w:rsidRDefault="00756FF7" w:rsidP="00CD67D1">
      <w:pPr>
        <w:shd w:val="clear" w:color="auto" w:fill="BFBFBF" w:themeFill="background1" w:themeFillShade="BF"/>
        <w:rPr>
          <w:b/>
          <w:sz w:val="36"/>
          <w:szCs w:val="36"/>
          <w:lang w:val="en-US"/>
        </w:rPr>
      </w:pPr>
      <w:r w:rsidRPr="00756FF7">
        <w:rPr>
          <w:sz w:val="36"/>
          <w:szCs w:val="36"/>
          <w:lang w:val="en-US"/>
        </w:rPr>
        <w:t>Statistik:</w:t>
      </w:r>
      <w:r w:rsidRPr="00756FF7">
        <w:rPr>
          <w:sz w:val="36"/>
          <w:szCs w:val="36"/>
          <w:lang w:val="en-US"/>
        </w:rPr>
        <w:tab/>
      </w:r>
      <w:r w:rsidRPr="00756FF7">
        <w:rPr>
          <w:sz w:val="36"/>
          <w:szCs w:val="36"/>
          <w:lang w:val="en-US"/>
        </w:rPr>
        <w:tab/>
      </w:r>
      <w:r w:rsidRPr="00CD67D1">
        <w:rPr>
          <w:b/>
          <w:sz w:val="36"/>
          <w:szCs w:val="36"/>
          <w:lang w:val="en-US"/>
        </w:rPr>
        <w:t xml:space="preserve">Chi-i-anden </w:t>
      </w:r>
      <w:r w:rsidRPr="00CD67D1">
        <w:rPr>
          <w:b/>
          <w:sz w:val="36"/>
          <w:szCs w:val="36"/>
          <w:lang w:val="en-US"/>
        </w:rPr>
        <w:tab/>
      </w:r>
      <w:r w:rsidR="00CD67D1">
        <w:rPr>
          <w:b/>
          <w:sz w:val="36"/>
          <w:szCs w:val="36"/>
          <w:lang w:val="en-US"/>
        </w:rPr>
        <w:t xml:space="preserve">  </w:t>
      </w:r>
      <w:r w:rsidRPr="00CD67D1">
        <w:rPr>
          <w:b/>
          <w:sz w:val="36"/>
          <w:szCs w:val="36"/>
        </w:rPr>
        <w:t>χ</w:t>
      </w:r>
      <w:r w:rsidRPr="00CD67D1">
        <w:rPr>
          <w:b/>
          <w:sz w:val="36"/>
          <w:szCs w:val="36"/>
          <w:vertAlign w:val="superscript"/>
          <w:lang w:val="en-US"/>
        </w:rPr>
        <w:t>2</w:t>
      </w:r>
      <w:r w:rsidRPr="00CD67D1">
        <w:rPr>
          <w:b/>
          <w:sz w:val="36"/>
          <w:szCs w:val="36"/>
          <w:lang w:val="en-US"/>
        </w:rPr>
        <w:t xml:space="preserve">  </w:t>
      </w:r>
      <w:r w:rsidR="00CD67D1">
        <w:rPr>
          <w:b/>
          <w:sz w:val="36"/>
          <w:szCs w:val="36"/>
          <w:lang w:val="en-US"/>
        </w:rPr>
        <w:t xml:space="preserve">    </w:t>
      </w:r>
      <w:r w:rsidRPr="00CD67D1">
        <w:rPr>
          <w:b/>
          <w:sz w:val="36"/>
          <w:szCs w:val="36"/>
          <w:lang w:val="en-US"/>
        </w:rPr>
        <w:tab/>
        <w:t>(Chi-square test)</w:t>
      </w:r>
    </w:p>
    <w:p w14:paraId="49D60D5A" w14:textId="77777777" w:rsidR="00756FF7" w:rsidRDefault="00756FF7">
      <w:pPr>
        <w:rPr>
          <w:lang w:val="en-US"/>
        </w:rPr>
      </w:pPr>
    </w:p>
    <w:p w14:paraId="33CB0379" w14:textId="014708D8" w:rsidR="00756FF7" w:rsidRDefault="00756FF7">
      <w:r w:rsidRPr="00756FF7">
        <w:t>Den simple statistiske test, chi-i-anden, bruges til</w:t>
      </w:r>
      <w:r>
        <w:t xml:space="preserve"> at sammenligne observerede </w:t>
      </w:r>
      <w:r w:rsidR="005B29D4">
        <w:t>værdier</w:t>
      </w:r>
      <w:r>
        <w:t xml:space="preserve"> med </w:t>
      </w:r>
      <w:r w:rsidR="005B29D4">
        <w:t>forventede værdier</w:t>
      </w:r>
      <w:r>
        <w:t xml:space="preserve"> </w:t>
      </w:r>
      <w:r w:rsidR="005B29D4">
        <w:t>fra</w:t>
      </w:r>
      <w:r>
        <w:t xml:space="preserve"> </w:t>
      </w:r>
      <w:r w:rsidR="00BF4732">
        <w:t>vores</w:t>
      </w:r>
      <w:r>
        <w:t xml:space="preserve"> hypotese. Hvis vi fx vil undersøge kønsratioen (forholdet mellem </w:t>
      </w:r>
      <w:r w:rsidR="005A47D1">
        <w:t>hanner</w:t>
      </w:r>
      <w:r>
        <w:t xml:space="preserve"> og </w:t>
      </w:r>
      <w:r w:rsidR="005A47D1">
        <w:t>hunner</w:t>
      </w:r>
      <w:r>
        <w:t xml:space="preserve">) </w:t>
      </w:r>
      <w:r w:rsidR="005A47D1">
        <w:t>for frøerne i mosen</w:t>
      </w:r>
      <w:r>
        <w:t xml:space="preserve">, antager vi måske, at kønsratioen er 1:1 – der er lige mange </w:t>
      </w:r>
      <w:r w:rsidR="005A47D1">
        <w:t>hanfrøer</w:t>
      </w:r>
      <w:r>
        <w:t xml:space="preserve"> og </w:t>
      </w:r>
      <w:r w:rsidR="005A47D1">
        <w:t>hunfrøer</w:t>
      </w:r>
      <w:r>
        <w:t xml:space="preserve"> i </w:t>
      </w:r>
      <w:r w:rsidR="005A47D1">
        <w:t>mosen</w:t>
      </w:r>
      <w:r>
        <w:t>.</w:t>
      </w:r>
    </w:p>
    <w:p w14:paraId="0E510144" w14:textId="77777777" w:rsidR="00D6757C" w:rsidRDefault="00D6757C">
      <w:pPr>
        <w:sectPr w:rsidR="00D6757C">
          <w:headerReference w:type="default" r:id="rId6"/>
          <w:footerReference w:type="default" r:id="rId7"/>
          <w:pgSz w:w="11906" w:h="16838"/>
          <w:pgMar w:top="1701" w:right="1134" w:bottom="1701" w:left="1134" w:header="708" w:footer="708" w:gutter="0"/>
          <w:cols w:space="708"/>
          <w:docGrid w:linePitch="360"/>
        </w:sectPr>
      </w:pPr>
    </w:p>
    <w:p w14:paraId="54AA4C0B" w14:textId="77777777" w:rsidR="00D6757C" w:rsidRDefault="00D6757C">
      <w:r>
        <w:rPr>
          <w:rFonts w:ascii="Arial" w:hAnsi="Arial" w:cs="Arial"/>
          <w:noProof/>
          <w:color w:val="0000FF"/>
          <w:sz w:val="20"/>
          <w:szCs w:val="20"/>
          <w:lang w:eastAsia="da-DK"/>
        </w:rPr>
        <w:drawing>
          <wp:inline distT="0" distB="0" distL="0" distR="0" wp14:anchorId="0B03CE3F" wp14:editId="2C0C0D9F">
            <wp:extent cx="975946" cy="854480"/>
            <wp:effectExtent l="0" t="0" r="0" b="3175"/>
            <wp:docPr id="1" name="Billede 1" descr="Frog Coloring Page 26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og Coloring Page 26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422" cy="854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3420A2" w14:textId="77777777" w:rsidR="00D6757C" w:rsidRPr="00D326C6" w:rsidRDefault="00D6757C" w:rsidP="00D6757C">
      <w:pPr>
        <w:rPr>
          <w:b/>
        </w:rPr>
      </w:pPr>
      <w:r w:rsidRPr="00D326C6">
        <w:rPr>
          <w:b/>
        </w:rPr>
        <w:t>Vores hypoteser er så:</w:t>
      </w:r>
    </w:p>
    <w:p w14:paraId="7ED4AA22" w14:textId="77777777" w:rsidR="00756FF7" w:rsidRDefault="00756FF7" w:rsidP="00D6757C">
      <w:r>
        <w:t>H</w:t>
      </w:r>
      <w:r w:rsidRPr="00756FF7">
        <w:rPr>
          <w:vertAlign w:val="subscript"/>
        </w:rPr>
        <w:t>0</w:t>
      </w:r>
      <w:r>
        <w:t xml:space="preserve">: Antallet af </w:t>
      </w:r>
      <w:r w:rsidR="005A47D1">
        <w:t>hanner</w:t>
      </w:r>
      <w:r>
        <w:t xml:space="preserve"> = antallet af </w:t>
      </w:r>
      <w:r w:rsidR="005A47D1">
        <w:t>hunner</w:t>
      </w:r>
      <w:r w:rsidR="00D6757C" w:rsidRPr="00D6757C">
        <w:rPr>
          <w:rFonts w:ascii="Arial" w:hAnsi="Arial" w:cs="Arial"/>
          <w:noProof/>
          <w:color w:val="0000FF"/>
          <w:sz w:val="20"/>
          <w:szCs w:val="20"/>
          <w:lang w:eastAsia="da-DK"/>
        </w:rPr>
        <w:t xml:space="preserve"> </w:t>
      </w:r>
    </w:p>
    <w:p w14:paraId="3F8FDEE6" w14:textId="77777777" w:rsidR="00756FF7" w:rsidRPr="00756FF7" w:rsidRDefault="00756FF7" w:rsidP="00D6757C">
      <w:r>
        <w:t>H</w:t>
      </w:r>
      <w:r w:rsidRPr="00756FF7">
        <w:rPr>
          <w:vertAlign w:val="subscript"/>
        </w:rPr>
        <w:t>A</w:t>
      </w:r>
      <w:r>
        <w:t xml:space="preserve">: Antallet af </w:t>
      </w:r>
      <w:r w:rsidR="005A47D1">
        <w:t>hanner</w:t>
      </w:r>
      <w:r>
        <w:t xml:space="preserve"> ≠ antallet af </w:t>
      </w:r>
      <w:r w:rsidR="005A47D1">
        <w:t>hunner</w:t>
      </w:r>
    </w:p>
    <w:p w14:paraId="0D6703D6" w14:textId="77777777" w:rsidR="00D6757C" w:rsidRDefault="00D6757C">
      <w:pPr>
        <w:sectPr w:rsidR="00D6757C" w:rsidSect="00D6757C">
          <w:type w:val="continuous"/>
          <w:pgSz w:w="11906" w:h="16838"/>
          <w:pgMar w:top="1701" w:right="1134" w:bottom="1701" w:left="1134" w:header="708" w:footer="708" w:gutter="0"/>
          <w:cols w:num="2" w:space="708" w:equalWidth="0">
            <w:col w:w="2740" w:space="708"/>
            <w:col w:w="6188"/>
          </w:cols>
          <w:docGrid w:linePitch="360"/>
        </w:sectPr>
      </w:pPr>
    </w:p>
    <w:p w14:paraId="440AD9E5" w14:textId="77777777" w:rsidR="00756FF7" w:rsidRDefault="00756FF7">
      <w:r>
        <w:t>Nulhypotesen (H</w:t>
      </w:r>
      <w:r w:rsidRPr="00756FF7">
        <w:rPr>
          <w:vertAlign w:val="subscript"/>
        </w:rPr>
        <w:t>0</w:t>
      </w:r>
      <w:r>
        <w:t xml:space="preserve">) er den konservative eller ”kedelige” hypotese – den </w:t>
      </w:r>
      <w:r w:rsidR="00BF4732">
        <w:t>forudsiger, at noget er ens,</w:t>
      </w:r>
      <w:r>
        <w:t xml:space="preserve"> </w:t>
      </w:r>
      <w:r w:rsidR="00BF4732">
        <w:t>at det i</w:t>
      </w:r>
      <w:r>
        <w:t xml:space="preserve">kke afviger, som her hvor antallet af </w:t>
      </w:r>
      <w:r w:rsidR="005A47D1">
        <w:t>hanfrøer</w:t>
      </w:r>
      <w:r>
        <w:t xml:space="preserve"> og </w:t>
      </w:r>
      <w:r w:rsidR="005A47D1">
        <w:t>hunfrøer</w:t>
      </w:r>
      <w:r>
        <w:t xml:space="preserve"> er ens.</w:t>
      </w:r>
    </w:p>
    <w:p w14:paraId="6F560606" w14:textId="77777777" w:rsidR="00756FF7" w:rsidRDefault="00756FF7">
      <w:r>
        <w:t>Den alternative hypotese (H</w:t>
      </w:r>
      <w:r w:rsidRPr="00756FF7">
        <w:rPr>
          <w:vertAlign w:val="subscript"/>
        </w:rPr>
        <w:t>A</w:t>
      </w:r>
      <w:r>
        <w:t xml:space="preserve">) er den spændende hypotese – den forudsiger, at noget ikke er ens, at det afviger, fx at antallet af </w:t>
      </w:r>
      <w:r w:rsidR="005A47D1">
        <w:t>hanfrøer</w:t>
      </w:r>
      <w:r>
        <w:t xml:space="preserve"> og </w:t>
      </w:r>
      <w:r w:rsidR="005A47D1">
        <w:t>hunfrøer</w:t>
      </w:r>
      <w:r>
        <w:t xml:space="preserve"> ikke er ens.</w:t>
      </w:r>
      <w:r w:rsidR="00F66492">
        <w:t xml:space="preserve"> Hypotesen siger dog ikke noget om, hvorvidt der er flere </w:t>
      </w:r>
      <w:r w:rsidR="005A47D1">
        <w:t>hanner</w:t>
      </w:r>
      <w:r w:rsidR="00F66492">
        <w:t xml:space="preserve"> end </w:t>
      </w:r>
      <w:r w:rsidR="005A47D1">
        <w:t>hunner</w:t>
      </w:r>
      <w:r w:rsidR="00F66492">
        <w:t xml:space="preserve"> – eller flere </w:t>
      </w:r>
      <w:r w:rsidR="005A47D1">
        <w:t>hunner</w:t>
      </w:r>
      <w:r w:rsidR="00F66492">
        <w:t xml:space="preserve"> end </w:t>
      </w:r>
      <w:r w:rsidR="005A47D1">
        <w:t>hanner</w:t>
      </w:r>
      <w:r w:rsidR="00F66492">
        <w:t xml:space="preserve"> – den siger bare, at der ikke er lige mange.</w:t>
      </w:r>
    </w:p>
    <w:p w14:paraId="5231FA3B" w14:textId="58A75E0C" w:rsidR="00F66492" w:rsidRDefault="00F66492">
      <w:r>
        <w:t xml:space="preserve">Vi udfører en </w:t>
      </w:r>
      <w:r w:rsidR="008E2DCA">
        <w:t xml:space="preserve">enhalet </w:t>
      </w:r>
      <w:r w:rsidR="005B29D4">
        <w:t xml:space="preserve">statistisk </w:t>
      </w:r>
      <w:r w:rsidR="00CC0553">
        <w:t xml:space="preserve">test </w:t>
      </w:r>
      <w:r>
        <w:t>for at undersøge, om nulhypotesen skal forkastes.</w:t>
      </w:r>
    </w:p>
    <w:p w14:paraId="6259928E" w14:textId="77777777" w:rsidR="00071474" w:rsidRDefault="00071474"/>
    <w:p w14:paraId="21584BB9" w14:textId="77777777" w:rsidR="00F66492" w:rsidRDefault="007C6CBD" w:rsidP="000714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Husk: </w:t>
      </w:r>
      <w:r w:rsidR="00F66492">
        <w:t xml:space="preserve">Man kan aldrig bevise eller bekræfte noget med statistik: man kan </w:t>
      </w:r>
      <w:r w:rsidR="00F66492" w:rsidRPr="00F66492">
        <w:rPr>
          <w:b/>
        </w:rPr>
        <w:t>forkaste</w:t>
      </w:r>
      <w:r w:rsidR="009A7C3D">
        <w:t xml:space="preserve"> </w:t>
      </w:r>
      <w:r w:rsidR="00F66492">
        <w:t xml:space="preserve">en hypotese, </w:t>
      </w:r>
      <w:r w:rsidR="00F66492" w:rsidRPr="00F66492">
        <w:rPr>
          <w:u w:val="single"/>
        </w:rPr>
        <w:t xml:space="preserve">hvis den </w:t>
      </w:r>
      <w:r w:rsidR="00F66492" w:rsidRPr="00F66492">
        <w:rPr>
          <w:b/>
          <w:u w:val="single"/>
        </w:rPr>
        <w:t>ikke</w:t>
      </w:r>
      <w:r w:rsidR="00F66492" w:rsidRPr="00F66492">
        <w:rPr>
          <w:u w:val="single"/>
        </w:rPr>
        <w:t xml:space="preserve"> understøttes af data</w:t>
      </w:r>
      <w:r w:rsidR="00F66492">
        <w:t xml:space="preserve">, </w:t>
      </w:r>
      <w:r w:rsidR="0044139D">
        <w:t>og</w:t>
      </w:r>
      <w:r w:rsidR="00F66492">
        <w:t xml:space="preserve"> man kan </w:t>
      </w:r>
      <w:r w:rsidR="00F66492" w:rsidRPr="00F66492">
        <w:rPr>
          <w:b/>
        </w:rPr>
        <w:t>undlade at forkaste</w:t>
      </w:r>
      <w:r w:rsidR="009A7C3D">
        <w:t xml:space="preserve"> </w:t>
      </w:r>
      <w:r w:rsidR="00F66492">
        <w:t xml:space="preserve">en hypotese, </w:t>
      </w:r>
      <w:r w:rsidR="00F66492" w:rsidRPr="00F66492">
        <w:rPr>
          <w:u w:val="single"/>
        </w:rPr>
        <w:t>hvis den understøttes af data</w:t>
      </w:r>
      <w:r w:rsidR="00F66492">
        <w:t>. Denne videnskabsteoretiske betragtning er re</w:t>
      </w:r>
      <w:r>
        <w:t>t væsentlig.</w:t>
      </w:r>
    </w:p>
    <w:p w14:paraId="535DAE87" w14:textId="77777777" w:rsidR="00071474" w:rsidRDefault="00071474">
      <w:pPr>
        <w:rPr>
          <w:highlight w:val="yellow"/>
        </w:rPr>
      </w:pPr>
    </w:p>
    <w:p w14:paraId="4BFD6555" w14:textId="77777777" w:rsidR="007C6CBD" w:rsidRDefault="007C6CBD">
      <w:r w:rsidRPr="00503515">
        <w:t xml:space="preserve">Signifikansniveauet, α (alfa), sættes </w:t>
      </w:r>
      <w:r w:rsidR="00BF4732" w:rsidRPr="00503515">
        <w:t xml:space="preserve">typisk </w:t>
      </w:r>
      <w:r w:rsidRPr="00503515">
        <w:t xml:space="preserve">til 0,05. Det vil sige, at vi i 5% af tilfældene accepterer, at vi laver en </w:t>
      </w:r>
      <w:r w:rsidR="00CC0553">
        <w:t>Type I</w:t>
      </w:r>
      <w:r w:rsidRPr="00503515">
        <w:t xml:space="preserve"> fejl</w:t>
      </w:r>
      <w:r w:rsidR="00CC0553">
        <w:t xml:space="preserve"> </w:t>
      </w:r>
      <w:r w:rsidR="00503515" w:rsidRPr="00503515">
        <w:rPr>
          <w:b/>
        </w:rPr>
        <w:t>ved at</w:t>
      </w:r>
      <w:r w:rsidRPr="00503515">
        <w:rPr>
          <w:b/>
        </w:rPr>
        <w:t xml:space="preserve"> forkaste </w:t>
      </w:r>
      <w:r w:rsidR="00503515" w:rsidRPr="00503515">
        <w:rPr>
          <w:b/>
        </w:rPr>
        <w:t>nul</w:t>
      </w:r>
      <w:r w:rsidRPr="00503515">
        <w:rPr>
          <w:b/>
        </w:rPr>
        <w:t>hyp</w:t>
      </w:r>
      <w:r w:rsidR="00503515" w:rsidRPr="00503515">
        <w:rPr>
          <w:b/>
        </w:rPr>
        <w:t xml:space="preserve">otesen, selvom den </w:t>
      </w:r>
      <w:r w:rsidR="00BF4732" w:rsidRPr="00503515">
        <w:rPr>
          <w:b/>
        </w:rPr>
        <w:t>understøttes af data</w:t>
      </w:r>
      <w:r w:rsidR="00503515" w:rsidRPr="00503515">
        <w:rPr>
          <w:b/>
        </w:rPr>
        <w:t>!</w:t>
      </w:r>
    </w:p>
    <w:p w14:paraId="5325441F" w14:textId="53A81400" w:rsidR="009C3E05" w:rsidRDefault="001B5C9A" w:rsidP="00BF4732">
      <w:r>
        <w:t>Følgende formel bruges til at bere</w:t>
      </w:r>
      <w:r w:rsidRPr="007C6CBD">
        <w:t>gne χ</w:t>
      </w:r>
      <w:r w:rsidRPr="006C512A">
        <w:rPr>
          <w:vertAlign w:val="superscript"/>
        </w:rPr>
        <w:t>2</w:t>
      </w:r>
      <w:r w:rsidRPr="007C6CBD">
        <w:t>-test</w:t>
      </w:r>
      <w:r w:rsidR="005B29D4">
        <w:t>størrelsen</w:t>
      </w:r>
      <w:r>
        <w:t>:</w:t>
      </w:r>
    </w:p>
    <w:p w14:paraId="57B335B9" w14:textId="77777777" w:rsidR="009C3E05" w:rsidRDefault="009C3E05" w:rsidP="00BF4732">
      <w:pPr>
        <w:rPr>
          <w:rFonts w:ascii="Cambria Math"/>
          <w:oMath/>
        </w:rPr>
        <w:sectPr w:rsidR="009C3E05" w:rsidSect="009C3E05">
          <w:type w:val="continuous"/>
          <w:pgSz w:w="11906" w:h="16838"/>
          <w:pgMar w:top="1701" w:right="1134" w:bottom="1701" w:left="1134" w:header="708" w:footer="708" w:gutter="0"/>
          <w:cols w:space="708"/>
          <w:docGrid w:linePitch="360"/>
        </w:sectPr>
      </w:pPr>
    </w:p>
    <w:p w14:paraId="1120D998" w14:textId="6667D01A" w:rsidR="00BF4732" w:rsidRPr="009C3E05" w:rsidRDefault="00000000" w:rsidP="00BF4732">
      <m:oMathPara>
        <m:oMathParaPr>
          <m:jc m:val="center"/>
        </m:oMathParaPr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χ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m:rPr>
              <m:nor/>
            </m:rPr>
            <w:rPr>
              <w:rFonts w:ascii="Cambria Math"/>
            </w:rPr>
            <m:t xml:space="preserve"> = 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/>
                </w:rPr>
                <m:t>i=1</m:t>
              </m:r>
            </m:sub>
            <m:sup>
              <m:r>
                <w:rPr>
                  <w:rFonts w:ascii="Cambria Math"/>
                </w:rPr>
                <m:t>n</m:t>
              </m:r>
            </m:sup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/>
                    </w:rPr>
                    <m:t>(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/>
                        </w:rPr>
                        <m:t>o</m:t>
                      </m:r>
                    </m:e>
                    <m:sub>
                      <m:r>
                        <w:rPr>
                          <w:rFonts w:ascii="Cambria Math"/>
                        </w:rPr>
                        <m:t>i</m:t>
                      </m:r>
                    </m:sub>
                  </m:sSub>
                  <m:r>
                    <w:rPr>
                      <w:rFonts w:ascii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)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/>
                        </w:rPr>
                        <m:t>f</m:t>
                      </m:r>
                    </m:e>
                    <m:sub>
                      <m:r>
                        <w:rPr>
                          <w:rFonts w:ascii="Cambria Math"/>
                        </w:rPr>
                        <m:t>i</m:t>
                      </m:r>
                    </m:sub>
                  </m:sSub>
                </m:den>
              </m:f>
            </m:e>
          </m:nary>
        </m:oMath>
      </m:oMathPara>
    </w:p>
    <w:p w14:paraId="34485876" w14:textId="77777777" w:rsidR="00BF4732" w:rsidRDefault="00BF4732" w:rsidP="00BF4732">
      <w:pPr>
        <w:spacing w:after="0" w:line="240" w:lineRule="auto"/>
      </w:pPr>
      <w:r>
        <w:t>hvor</w:t>
      </w:r>
    </w:p>
    <w:p w14:paraId="56768234" w14:textId="77777777" w:rsidR="001B5C9A" w:rsidRDefault="001B5C9A" w:rsidP="00BF4732">
      <w:pPr>
        <w:spacing w:after="0" w:line="240" w:lineRule="auto"/>
      </w:pPr>
      <w:r>
        <w:t>o</w:t>
      </w:r>
      <w:r w:rsidRPr="00BF4732">
        <w:rPr>
          <w:vertAlign w:val="subscript"/>
        </w:rPr>
        <w:t>i</w:t>
      </w:r>
      <w:r>
        <w:t xml:space="preserve"> er det observerede antal i hver klasse</w:t>
      </w:r>
    </w:p>
    <w:p w14:paraId="1B6DEED7" w14:textId="77777777" w:rsidR="001B5C9A" w:rsidRDefault="00BF4732" w:rsidP="00BF4732">
      <w:pPr>
        <w:spacing w:after="0" w:line="240" w:lineRule="auto"/>
      </w:pPr>
      <w:r>
        <w:t>f</w:t>
      </w:r>
      <w:r w:rsidR="001B5C9A" w:rsidRPr="00BF4732">
        <w:rPr>
          <w:vertAlign w:val="subscript"/>
        </w:rPr>
        <w:t>i</w:t>
      </w:r>
      <w:r w:rsidR="001B5C9A">
        <w:t xml:space="preserve"> er det forventede antal i hver klasse</w:t>
      </w:r>
    </w:p>
    <w:p w14:paraId="637081CC" w14:textId="77777777" w:rsidR="001B5C9A" w:rsidRDefault="001B5C9A" w:rsidP="00BF4732">
      <w:pPr>
        <w:spacing w:after="0" w:line="240" w:lineRule="auto"/>
      </w:pPr>
      <w:r>
        <w:t>n er antallet af klasser</w:t>
      </w:r>
    </w:p>
    <w:p w14:paraId="6E306B30" w14:textId="77777777" w:rsidR="00D326C6" w:rsidRDefault="001B5C9A" w:rsidP="00BF4732">
      <w:pPr>
        <w:spacing w:after="0" w:line="240" w:lineRule="auto"/>
      </w:pPr>
      <w:r>
        <w:t xml:space="preserve">sumtegnet betyder, at </w:t>
      </w:r>
      <w:r w:rsidR="00BF4732">
        <w:t xml:space="preserve">udtrykkets </w:t>
      </w:r>
      <w:r>
        <w:t>værdi adderes for hver klasse i fra 1 til n</w:t>
      </w:r>
      <w:r w:rsidR="00D326C6">
        <w:t>.</w:t>
      </w:r>
    </w:p>
    <w:p w14:paraId="528D08D9" w14:textId="77777777" w:rsidR="001B5C9A" w:rsidRDefault="00D326C6" w:rsidP="009C3E05">
      <w:pPr>
        <w:spacing w:after="0" w:line="240" w:lineRule="auto"/>
        <w:jc w:val="center"/>
      </w:pPr>
      <w:r>
        <w:rPr>
          <w:rFonts w:ascii="Arial" w:hAnsi="Arial" w:cs="Arial"/>
          <w:noProof/>
          <w:color w:val="0000FF"/>
          <w:sz w:val="20"/>
          <w:szCs w:val="20"/>
          <w:lang w:eastAsia="da-DK"/>
        </w:rPr>
        <w:drawing>
          <wp:inline distT="0" distB="0" distL="0" distR="0" wp14:anchorId="65735238" wp14:editId="142616CC">
            <wp:extent cx="1354015" cy="1387864"/>
            <wp:effectExtent l="0" t="0" r="0" b="3175"/>
            <wp:docPr id="2" name="Billede 2" descr="Frog Coloring Page 25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og Coloring Page 25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4015" cy="1387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9942C7" w14:textId="77777777" w:rsidR="00D326C6" w:rsidRDefault="00D326C6">
      <w:pPr>
        <w:sectPr w:rsidR="00D326C6" w:rsidSect="009C3E05">
          <w:type w:val="continuous"/>
          <w:pgSz w:w="11906" w:h="16838"/>
          <w:pgMar w:top="1701" w:right="1134" w:bottom="1701" w:left="1134" w:header="708" w:footer="708" w:gutter="0"/>
          <w:cols w:num="2" w:space="708" w:equalWidth="0">
            <w:col w:w="6894" w:space="2"/>
            <w:col w:w="2740"/>
          </w:cols>
          <w:docGrid w:linePitch="360"/>
        </w:sectPr>
      </w:pPr>
    </w:p>
    <w:p w14:paraId="1DA38CE2" w14:textId="77777777" w:rsidR="009C3E05" w:rsidRDefault="009C3E05">
      <w:pPr>
        <w:sectPr w:rsidR="009C3E05" w:rsidSect="00D6757C">
          <w:type w:val="continuous"/>
          <w:pgSz w:w="11906" w:h="16838"/>
          <w:pgMar w:top="1701" w:right="1134" w:bottom="1701" w:left="1134" w:header="708" w:footer="708" w:gutter="0"/>
          <w:cols w:space="708"/>
          <w:docGrid w:linePitch="360"/>
        </w:sectPr>
      </w:pPr>
    </w:p>
    <w:p w14:paraId="2660839C" w14:textId="1FB2EC93" w:rsidR="007C6CBD" w:rsidRDefault="00BF4732">
      <w:r>
        <w:t xml:space="preserve">På næste side er indsat en tabel (Tabel 1), som kan benyttes til at </w:t>
      </w:r>
      <w:r w:rsidR="007C6CBD">
        <w:t>bere</w:t>
      </w:r>
      <w:r w:rsidR="007C6CBD" w:rsidRPr="007C6CBD">
        <w:t>gne χ</w:t>
      </w:r>
      <w:r w:rsidR="007C6CBD" w:rsidRPr="006C512A">
        <w:rPr>
          <w:vertAlign w:val="superscript"/>
        </w:rPr>
        <w:t>2</w:t>
      </w:r>
      <w:r>
        <w:t>-test</w:t>
      </w:r>
      <w:r w:rsidR="005B29D4">
        <w:t>størrelsen</w:t>
      </w:r>
      <w:r>
        <w:t xml:space="preserve"> trin for trin.</w:t>
      </w:r>
    </w:p>
    <w:p w14:paraId="5FA5B26A" w14:textId="77777777" w:rsidR="00BB248C" w:rsidRDefault="00BB248C">
      <w:pPr>
        <w:rPr>
          <w:b/>
        </w:rPr>
        <w:sectPr w:rsidR="00BB248C" w:rsidSect="00D6757C">
          <w:type w:val="continuous"/>
          <w:pgSz w:w="11906" w:h="16838"/>
          <w:pgMar w:top="1701" w:right="1134" w:bottom="1701" w:left="1134" w:header="708" w:footer="708" w:gutter="0"/>
          <w:cols w:space="708"/>
          <w:docGrid w:linePitch="360"/>
        </w:sectPr>
      </w:pPr>
    </w:p>
    <w:p w14:paraId="72BA75EE" w14:textId="77777777" w:rsidR="00BF4732" w:rsidRPr="00BF4732" w:rsidRDefault="00C06724" w:rsidP="00C140C2">
      <w:pPr>
        <w:rPr>
          <w:b/>
        </w:rPr>
      </w:pPr>
      <w:r w:rsidRPr="00C140C2">
        <w:rPr>
          <w:b/>
          <w:highlight w:val="lightGray"/>
        </w:rPr>
        <w:lastRenderedPageBreak/>
        <w:t>Trin for trin vejledning til</w:t>
      </w:r>
      <w:r w:rsidR="00BF4732" w:rsidRPr="00C140C2">
        <w:rPr>
          <w:b/>
          <w:highlight w:val="lightGray"/>
        </w:rPr>
        <w:t xml:space="preserve"> beregning af χ</w:t>
      </w:r>
      <w:r w:rsidR="00BF4732" w:rsidRPr="00C140C2">
        <w:rPr>
          <w:b/>
          <w:highlight w:val="lightGray"/>
          <w:vertAlign w:val="superscript"/>
        </w:rPr>
        <w:t>2</w:t>
      </w:r>
      <w:r w:rsidR="00BF4732" w:rsidRPr="00C140C2">
        <w:rPr>
          <w:b/>
          <w:highlight w:val="lightGray"/>
        </w:rPr>
        <w:t>-teststørrelsen:</w:t>
      </w:r>
    </w:p>
    <w:p w14:paraId="764B1B1A" w14:textId="77777777" w:rsidR="007C6CBD" w:rsidRDefault="007C6CBD">
      <w:r>
        <w:t>Søjle 1: A</w:t>
      </w:r>
      <w:r w:rsidRPr="007C6CBD">
        <w:t xml:space="preserve">ngiv de forskellige klasser (kategorier, her: </w:t>
      </w:r>
      <w:r w:rsidR="005A47D1">
        <w:t>hanner og hunn</w:t>
      </w:r>
      <w:r w:rsidRPr="007C6CBD">
        <w:t>er)</w:t>
      </w:r>
    </w:p>
    <w:p w14:paraId="3A5BA729" w14:textId="77777777" w:rsidR="007C6CBD" w:rsidRDefault="007C6CBD">
      <w:r>
        <w:t>Søjle 2: Indsæt de observerede værdier for hver klasse</w:t>
      </w:r>
    </w:p>
    <w:p w14:paraId="6928AD54" w14:textId="77777777" w:rsidR="00BB248C" w:rsidRDefault="00BB248C" w:rsidP="00BB248C">
      <w:pPr>
        <w:jc w:val="center"/>
      </w:pPr>
      <w:r>
        <w:rPr>
          <w:rFonts w:ascii="Arial" w:hAnsi="Arial" w:cs="Arial"/>
          <w:noProof/>
          <w:color w:val="004A84"/>
          <w:bdr w:val="none" w:sz="0" w:space="0" w:color="auto" w:frame="1"/>
          <w:lang w:eastAsia="da-DK"/>
        </w:rPr>
        <w:drawing>
          <wp:inline distT="0" distB="0" distL="0" distR="0" wp14:anchorId="14454B88" wp14:editId="416F5575">
            <wp:extent cx="1134208" cy="741090"/>
            <wp:effectExtent l="0" t="0" r="8890" b="1905"/>
            <wp:docPr id="3" name="Billede 3" descr="Frog Outline Animal Clip Art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rog Outline Animal Clip Art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387" cy="741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8E5CC3" w14:textId="77777777" w:rsidR="00BB248C" w:rsidRDefault="00BB248C">
      <w:pPr>
        <w:sectPr w:rsidR="00BB248C" w:rsidSect="00BB248C">
          <w:type w:val="continuous"/>
          <w:pgSz w:w="11906" w:h="16838"/>
          <w:pgMar w:top="1701" w:right="1134" w:bottom="1701" w:left="1134" w:header="708" w:footer="708" w:gutter="0"/>
          <w:cols w:num="2" w:space="708" w:equalWidth="0">
            <w:col w:w="6804" w:space="92"/>
            <w:col w:w="2740"/>
          </w:cols>
          <w:docGrid w:linePitch="360"/>
        </w:sectPr>
      </w:pPr>
    </w:p>
    <w:p w14:paraId="6889783C" w14:textId="49DCDB1B" w:rsidR="007C6CBD" w:rsidRDefault="007C6CBD">
      <w:r>
        <w:t xml:space="preserve">Søjle 3: (Beregn og) indsæt de forventede værdier for hver klasse (her: hvis </w:t>
      </w:r>
      <w:r w:rsidR="00C130D2">
        <w:t>vi</w:t>
      </w:r>
      <w:r>
        <w:t xml:space="preserve"> forventer, der er lige mange </w:t>
      </w:r>
      <w:r w:rsidR="005A47D1">
        <w:t>hanner og hunn</w:t>
      </w:r>
      <w:r>
        <w:t>er</w:t>
      </w:r>
      <w:r w:rsidR="005A47D1">
        <w:t xml:space="preserve"> i mo</w:t>
      </w:r>
      <w:r>
        <w:t xml:space="preserve">sen, </w:t>
      </w:r>
      <w:r w:rsidR="000179FC">
        <w:t xml:space="preserve">forventer </w:t>
      </w:r>
      <w:r w:rsidR="00C130D2">
        <w:t>vi</w:t>
      </w:r>
      <w:r w:rsidR="000179FC">
        <w:t xml:space="preserve"> at finde 50% hanner og 50% hunner – den forventede værdi for hvert køn er så 0,5 * 150 frøer = 75, for der var </w:t>
      </w:r>
      <w:r w:rsidR="006C512A">
        <w:t>65 han</w:t>
      </w:r>
      <w:r w:rsidR="00A70FC1">
        <w:t>ner + 85 hunner = 150 frøer</w:t>
      </w:r>
      <w:r w:rsidR="000179FC">
        <w:t xml:space="preserve"> i mosen).</w:t>
      </w:r>
    </w:p>
    <w:p w14:paraId="7CD67600" w14:textId="77777777" w:rsidR="007C6CBD" w:rsidRDefault="007C6CBD">
      <w:r>
        <w:t>Søjle 4: Beregn afvigelsen mellem den observerede værdi og den forventede værdi for hver klasse</w:t>
      </w:r>
    </w:p>
    <w:p w14:paraId="4A79E6E5" w14:textId="77777777" w:rsidR="007C6CBD" w:rsidRDefault="007C6CBD">
      <w:r>
        <w:t xml:space="preserve">Søjle 5: Sæt afvigelsen </w:t>
      </w:r>
      <w:r w:rsidR="006C512A">
        <w:t xml:space="preserve">(søjle 4) </w:t>
      </w:r>
      <w:r>
        <w:t>i anden</w:t>
      </w:r>
      <w:r w:rsidR="001B5C9A">
        <w:t xml:space="preserve"> (kvadrér afvigelsen)</w:t>
      </w:r>
      <w:r>
        <w:t xml:space="preserve"> for hver klasse</w:t>
      </w:r>
    </w:p>
    <w:p w14:paraId="419BB3A3" w14:textId="77777777" w:rsidR="007C6CBD" w:rsidRDefault="007C6CBD">
      <w:r>
        <w:t>Søjle 6: Del den kvadrerede afvigelse</w:t>
      </w:r>
      <w:r w:rsidR="006C512A">
        <w:t xml:space="preserve"> (søjle 5)</w:t>
      </w:r>
      <w:r>
        <w:t xml:space="preserve"> med den forventede værdi </w:t>
      </w:r>
      <w:r w:rsidR="006C512A">
        <w:t>(søjle 3)</w:t>
      </w:r>
      <w:r w:rsidR="006C512A" w:rsidRPr="006C512A">
        <w:t xml:space="preserve"> </w:t>
      </w:r>
      <w:r w:rsidR="006C512A">
        <w:t>for hver klasse</w:t>
      </w:r>
    </w:p>
    <w:p w14:paraId="0D4742E5" w14:textId="77777777" w:rsidR="005A47D1" w:rsidRDefault="005A47D1"/>
    <w:p w14:paraId="01DDF408" w14:textId="69FC10A5" w:rsidR="001B5C9A" w:rsidRPr="005A47D1" w:rsidRDefault="005A47D1" w:rsidP="005A47D1">
      <w:pPr>
        <w:spacing w:after="0"/>
        <w:rPr>
          <w:b/>
          <w:i/>
        </w:rPr>
      </w:pPr>
      <w:r w:rsidRPr="005A47D1">
        <w:rPr>
          <w:b/>
          <w:i/>
        </w:rPr>
        <w:t>Tabel 1. Udregning af χ</w:t>
      </w:r>
      <w:r w:rsidRPr="005B29D4">
        <w:rPr>
          <w:b/>
          <w:i/>
          <w:vertAlign w:val="superscript"/>
        </w:rPr>
        <w:t>2</w:t>
      </w:r>
      <w:r w:rsidRPr="005A47D1">
        <w:rPr>
          <w:b/>
          <w:i/>
        </w:rPr>
        <w:t xml:space="preserve"> teststørrelse</w:t>
      </w:r>
      <w:r>
        <w:rPr>
          <w:b/>
          <w:i/>
        </w:rPr>
        <w:t xml:space="preserve"> for eksemplet med frøernes kønsratio i mosen.</w:t>
      </w:r>
      <w:r w:rsidR="008E2DCA">
        <w:rPr>
          <w:b/>
          <w:i/>
        </w:rPr>
        <w:t xml:space="preserve"> Søjle 6 er afrundet.</w:t>
      </w:r>
    </w:p>
    <w:tbl>
      <w:tblPr>
        <w:tblStyle w:val="Tabel-Gitter"/>
        <w:tblW w:w="5000" w:type="pct"/>
        <w:tblLook w:val="04A0" w:firstRow="1" w:lastRow="0" w:firstColumn="1" w:lastColumn="0" w:noHBand="0" w:noVBand="1"/>
      </w:tblPr>
      <w:tblGrid>
        <w:gridCol w:w="1643"/>
        <w:gridCol w:w="1643"/>
        <w:gridCol w:w="1642"/>
        <w:gridCol w:w="1642"/>
        <w:gridCol w:w="1642"/>
        <w:gridCol w:w="1642"/>
      </w:tblGrid>
      <w:tr w:rsidR="00BF4732" w14:paraId="0B6D3D1A" w14:textId="77777777" w:rsidTr="00BF4732">
        <w:tc>
          <w:tcPr>
            <w:tcW w:w="833" w:type="pct"/>
          </w:tcPr>
          <w:p w14:paraId="3AE78A28" w14:textId="77777777" w:rsidR="00BF4732" w:rsidRDefault="00BF4732" w:rsidP="005A47D1">
            <w:pPr>
              <w:jc w:val="center"/>
            </w:pPr>
            <w:r>
              <w:t>Søjle 1</w:t>
            </w:r>
          </w:p>
        </w:tc>
        <w:tc>
          <w:tcPr>
            <w:tcW w:w="833" w:type="pct"/>
          </w:tcPr>
          <w:p w14:paraId="5FAC03AA" w14:textId="77777777" w:rsidR="00BF4732" w:rsidRDefault="00BF4732" w:rsidP="005A47D1">
            <w:pPr>
              <w:jc w:val="center"/>
            </w:pPr>
            <w:r>
              <w:t>Søjle 2</w:t>
            </w:r>
          </w:p>
        </w:tc>
        <w:tc>
          <w:tcPr>
            <w:tcW w:w="833" w:type="pct"/>
          </w:tcPr>
          <w:p w14:paraId="65156726" w14:textId="77777777" w:rsidR="00BF4732" w:rsidRDefault="00BF4732" w:rsidP="005A47D1">
            <w:pPr>
              <w:jc w:val="center"/>
            </w:pPr>
            <w:r>
              <w:t>Søjle 3</w:t>
            </w:r>
          </w:p>
        </w:tc>
        <w:tc>
          <w:tcPr>
            <w:tcW w:w="833" w:type="pct"/>
          </w:tcPr>
          <w:p w14:paraId="01230735" w14:textId="77777777" w:rsidR="00BF4732" w:rsidRDefault="00BF4732" w:rsidP="005A47D1">
            <w:pPr>
              <w:jc w:val="center"/>
            </w:pPr>
            <w:r>
              <w:t>Søjle 4</w:t>
            </w:r>
          </w:p>
        </w:tc>
        <w:tc>
          <w:tcPr>
            <w:tcW w:w="833" w:type="pct"/>
          </w:tcPr>
          <w:p w14:paraId="37D82D08" w14:textId="77777777" w:rsidR="00BF4732" w:rsidRPr="00BF4732" w:rsidRDefault="00BF4732" w:rsidP="005A47D1">
            <w:pPr>
              <w:jc w:val="center"/>
              <w:rPr>
                <w:b/>
              </w:rPr>
            </w:pPr>
            <w:r>
              <w:t>Søjle 5</w:t>
            </w:r>
          </w:p>
        </w:tc>
        <w:tc>
          <w:tcPr>
            <w:tcW w:w="833" w:type="pct"/>
          </w:tcPr>
          <w:p w14:paraId="7B446F42" w14:textId="77777777" w:rsidR="00BF4732" w:rsidRDefault="00BF4732" w:rsidP="005A47D1">
            <w:pPr>
              <w:jc w:val="center"/>
            </w:pPr>
            <w:r>
              <w:t>Søjle 6</w:t>
            </w:r>
          </w:p>
        </w:tc>
      </w:tr>
      <w:tr w:rsidR="00BF4732" w14:paraId="293EEDA0" w14:textId="77777777" w:rsidTr="00BF4732">
        <w:tc>
          <w:tcPr>
            <w:tcW w:w="833" w:type="pct"/>
          </w:tcPr>
          <w:p w14:paraId="78CDC750" w14:textId="77777777" w:rsidR="00BF4732" w:rsidRPr="005A47D1" w:rsidRDefault="00BF4732">
            <w:pPr>
              <w:rPr>
                <w:b/>
              </w:rPr>
            </w:pPr>
            <w:r w:rsidRPr="005A47D1">
              <w:rPr>
                <w:b/>
              </w:rPr>
              <w:t>Klasse</w:t>
            </w:r>
          </w:p>
        </w:tc>
        <w:tc>
          <w:tcPr>
            <w:tcW w:w="833" w:type="pct"/>
          </w:tcPr>
          <w:p w14:paraId="09644319" w14:textId="77777777" w:rsidR="00BF4732" w:rsidRPr="005A47D1" w:rsidRDefault="00BF4732" w:rsidP="005A47D1">
            <w:pPr>
              <w:jc w:val="center"/>
              <w:rPr>
                <w:b/>
              </w:rPr>
            </w:pPr>
            <w:r w:rsidRPr="005A47D1">
              <w:rPr>
                <w:b/>
              </w:rPr>
              <w:t>Observeret</w:t>
            </w:r>
          </w:p>
          <w:p w14:paraId="666ED372" w14:textId="77777777" w:rsidR="00BF4732" w:rsidRPr="005A47D1" w:rsidRDefault="00BF4732" w:rsidP="005A47D1">
            <w:pPr>
              <w:jc w:val="center"/>
              <w:rPr>
                <w:b/>
              </w:rPr>
            </w:pPr>
            <w:r w:rsidRPr="005A47D1">
              <w:rPr>
                <w:b/>
              </w:rPr>
              <w:t>(o)</w:t>
            </w:r>
          </w:p>
        </w:tc>
        <w:tc>
          <w:tcPr>
            <w:tcW w:w="833" w:type="pct"/>
          </w:tcPr>
          <w:p w14:paraId="44B2B38D" w14:textId="77777777" w:rsidR="00BF4732" w:rsidRPr="005A47D1" w:rsidRDefault="00BF4732" w:rsidP="005A47D1">
            <w:pPr>
              <w:jc w:val="center"/>
              <w:rPr>
                <w:b/>
              </w:rPr>
            </w:pPr>
            <w:r w:rsidRPr="005A47D1">
              <w:rPr>
                <w:b/>
              </w:rPr>
              <w:t>Forventet</w:t>
            </w:r>
          </w:p>
          <w:p w14:paraId="169EFAB9" w14:textId="77777777" w:rsidR="00BF4732" w:rsidRPr="005A47D1" w:rsidRDefault="00BF4732" w:rsidP="005A47D1">
            <w:pPr>
              <w:jc w:val="center"/>
              <w:rPr>
                <w:b/>
              </w:rPr>
            </w:pPr>
            <w:r w:rsidRPr="005A47D1">
              <w:rPr>
                <w:b/>
              </w:rPr>
              <w:t>(f)</w:t>
            </w:r>
          </w:p>
        </w:tc>
        <w:tc>
          <w:tcPr>
            <w:tcW w:w="833" w:type="pct"/>
          </w:tcPr>
          <w:p w14:paraId="6C053E28" w14:textId="77777777" w:rsidR="00BF4732" w:rsidRPr="005A47D1" w:rsidRDefault="00BF4732" w:rsidP="005A47D1">
            <w:pPr>
              <w:jc w:val="center"/>
              <w:rPr>
                <w:b/>
              </w:rPr>
            </w:pPr>
            <w:r w:rsidRPr="005A47D1">
              <w:rPr>
                <w:b/>
              </w:rPr>
              <w:t>Afvigelse</w:t>
            </w:r>
          </w:p>
          <w:p w14:paraId="202E7227" w14:textId="77777777" w:rsidR="00BF4732" w:rsidRPr="005A47D1" w:rsidRDefault="00BF4732" w:rsidP="005A47D1">
            <w:pPr>
              <w:jc w:val="center"/>
              <w:rPr>
                <w:b/>
              </w:rPr>
            </w:pPr>
            <w:r w:rsidRPr="005A47D1">
              <w:rPr>
                <w:b/>
              </w:rPr>
              <w:t>(o-f)</w:t>
            </w:r>
          </w:p>
        </w:tc>
        <w:tc>
          <w:tcPr>
            <w:tcW w:w="833" w:type="pct"/>
          </w:tcPr>
          <w:p w14:paraId="30DE121E" w14:textId="77777777" w:rsidR="00BF4732" w:rsidRPr="005A47D1" w:rsidRDefault="00BF4732" w:rsidP="005A47D1">
            <w:pPr>
              <w:jc w:val="center"/>
              <w:rPr>
                <w:b/>
              </w:rPr>
            </w:pPr>
            <w:r w:rsidRPr="005A47D1">
              <w:rPr>
                <w:b/>
              </w:rPr>
              <w:t>Kvadreret afv.</w:t>
            </w:r>
          </w:p>
          <w:p w14:paraId="5269DB78" w14:textId="77777777" w:rsidR="00BF4732" w:rsidRPr="005A47D1" w:rsidRDefault="00BF4732" w:rsidP="005A47D1">
            <w:pPr>
              <w:jc w:val="center"/>
              <w:rPr>
                <w:b/>
              </w:rPr>
            </w:pPr>
            <w:r w:rsidRPr="005A47D1">
              <w:rPr>
                <w:b/>
              </w:rPr>
              <w:t>(o-f)</w:t>
            </w:r>
            <w:r w:rsidRPr="005A47D1">
              <w:rPr>
                <w:b/>
                <w:vertAlign w:val="superscript"/>
              </w:rPr>
              <w:t>2</w:t>
            </w:r>
          </w:p>
        </w:tc>
        <w:tc>
          <w:tcPr>
            <w:tcW w:w="833" w:type="pct"/>
          </w:tcPr>
          <w:p w14:paraId="42156AE0" w14:textId="77777777" w:rsidR="00BF4732" w:rsidRPr="005A47D1" w:rsidRDefault="005C00B4" w:rsidP="005A47D1">
            <w:pPr>
              <w:jc w:val="center"/>
              <w:rPr>
                <w:b/>
                <w:u w:val="single"/>
              </w:rPr>
            </w:pPr>
            <w:r w:rsidRPr="005A47D1">
              <w:rPr>
                <w:b/>
                <w:u w:val="single"/>
              </w:rPr>
              <w:t>(o-f)</w:t>
            </w:r>
            <w:r w:rsidRPr="005A47D1">
              <w:rPr>
                <w:b/>
                <w:u w:val="single"/>
                <w:vertAlign w:val="superscript"/>
              </w:rPr>
              <w:t>2</w:t>
            </w:r>
          </w:p>
          <w:p w14:paraId="4AB1FCE0" w14:textId="77777777" w:rsidR="005A47D1" w:rsidRPr="005A47D1" w:rsidRDefault="005A47D1" w:rsidP="005A47D1">
            <w:pPr>
              <w:jc w:val="center"/>
              <w:rPr>
                <w:b/>
              </w:rPr>
            </w:pPr>
            <w:r w:rsidRPr="005A47D1">
              <w:rPr>
                <w:b/>
              </w:rPr>
              <w:t>f</w:t>
            </w:r>
          </w:p>
        </w:tc>
      </w:tr>
      <w:tr w:rsidR="00BF4732" w14:paraId="13B1AF01" w14:textId="77777777" w:rsidTr="00BF4732">
        <w:tc>
          <w:tcPr>
            <w:tcW w:w="833" w:type="pct"/>
          </w:tcPr>
          <w:p w14:paraId="6E2EDB34" w14:textId="77777777" w:rsidR="00BF4732" w:rsidRDefault="005A47D1">
            <w:r>
              <w:t>Hanfrøer</w:t>
            </w:r>
          </w:p>
        </w:tc>
        <w:tc>
          <w:tcPr>
            <w:tcW w:w="833" w:type="pct"/>
          </w:tcPr>
          <w:p w14:paraId="169C500E" w14:textId="77777777" w:rsidR="00BF4732" w:rsidRDefault="006C512A" w:rsidP="005A47D1">
            <w:pPr>
              <w:jc w:val="center"/>
            </w:pPr>
            <w:r>
              <w:t>65</w:t>
            </w:r>
          </w:p>
        </w:tc>
        <w:tc>
          <w:tcPr>
            <w:tcW w:w="833" w:type="pct"/>
          </w:tcPr>
          <w:p w14:paraId="05B7EDCD" w14:textId="77777777" w:rsidR="00BF4732" w:rsidRDefault="006C512A" w:rsidP="005A47D1">
            <w:pPr>
              <w:jc w:val="center"/>
            </w:pPr>
            <w:r>
              <w:t>75</w:t>
            </w:r>
          </w:p>
        </w:tc>
        <w:tc>
          <w:tcPr>
            <w:tcW w:w="833" w:type="pct"/>
          </w:tcPr>
          <w:p w14:paraId="7C2A743C" w14:textId="77777777" w:rsidR="00BF4732" w:rsidRDefault="006C512A" w:rsidP="005A47D1">
            <w:pPr>
              <w:jc w:val="center"/>
            </w:pPr>
            <w:r>
              <w:t>-10</w:t>
            </w:r>
          </w:p>
        </w:tc>
        <w:tc>
          <w:tcPr>
            <w:tcW w:w="833" w:type="pct"/>
          </w:tcPr>
          <w:p w14:paraId="03BA2CCB" w14:textId="77777777" w:rsidR="00BF4732" w:rsidRDefault="006C512A" w:rsidP="005A47D1">
            <w:pPr>
              <w:jc w:val="center"/>
            </w:pPr>
            <w:r>
              <w:t>100</w:t>
            </w:r>
          </w:p>
        </w:tc>
        <w:tc>
          <w:tcPr>
            <w:tcW w:w="833" w:type="pct"/>
          </w:tcPr>
          <w:p w14:paraId="18551920" w14:textId="77777777" w:rsidR="00BF4732" w:rsidRDefault="006C512A" w:rsidP="005A47D1">
            <w:pPr>
              <w:jc w:val="center"/>
            </w:pPr>
            <w:r>
              <w:t>1,33</w:t>
            </w:r>
          </w:p>
        </w:tc>
      </w:tr>
      <w:tr w:rsidR="00BF4732" w14:paraId="3E33B8CE" w14:textId="77777777" w:rsidTr="005A47D1">
        <w:tc>
          <w:tcPr>
            <w:tcW w:w="833" w:type="pct"/>
            <w:tcBorders>
              <w:bottom w:val="single" w:sz="4" w:space="0" w:color="auto"/>
            </w:tcBorders>
          </w:tcPr>
          <w:p w14:paraId="22936CB1" w14:textId="77777777" w:rsidR="00BF4732" w:rsidRDefault="005A47D1">
            <w:r>
              <w:t>Hunfrøer</w:t>
            </w:r>
          </w:p>
        </w:tc>
        <w:tc>
          <w:tcPr>
            <w:tcW w:w="833" w:type="pct"/>
            <w:tcBorders>
              <w:bottom w:val="single" w:sz="4" w:space="0" w:color="auto"/>
            </w:tcBorders>
          </w:tcPr>
          <w:p w14:paraId="0CBD860A" w14:textId="77777777" w:rsidR="00BF4732" w:rsidRDefault="006C512A" w:rsidP="005A47D1">
            <w:pPr>
              <w:jc w:val="center"/>
            </w:pPr>
            <w:r>
              <w:t>85</w:t>
            </w:r>
          </w:p>
        </w:tc>
        <w:tc>
          <w:tcPr>
            <w:tcW w:w="833" w:type="pct"/>
            <w:tcBorders>
              <w:bottom w:val="single" w:sz="4" w:space="0" w:color="auto"/>
            </w:tcBorders>
          </w:tcPr>
          <w:p w14:paraId="5DCBE8E6" w14:textId="77777777" w:rsidR="00BF4732" w:rsidRDefault="006C512A" w:rsidP="005A47D1">
            <w:pPr>
              <w:jc w:val="center"/>
            </w:pPr>
            <w:r>
              <w:t>75</w:t>
            </w:r>
          </w:p>
        </w:tc>
        <w:tc>
          <w:tcPr>
            <w:tcW w:w="833" w:type="pct"/>
            <w:tcBorders>
              <w:bottom w:val="single" w:sz="4" w:space="0" w:color="auto"/>
            </w:tcBorders>
          </w:tcPr>
          <w:p w14:paraId="72B2B364" w14:textId="77777777" w:rsidR="00BF4732" w:rsidRDefault="006C512A" w:rsidP="005A47D1">
            <w:pPr>
              <w:jc w:val="center"/>
            </w:pPr>
            <w:r>
              <w:t>10</w:t>
            </w:r>
          </w:p>
        </w:tc>
        <w:tc>
          <w:tcPr>
            <w:tcW w:w="833" w:type="pct"/>
          </w:tcPr>
          <w:p w14:paraId="4C98FC7D" w14:textId="77777777" w:rsidR="00BF4732" w:rsidRDefault="006C512A" w:rsidP="005A47D1">
            <w:pPr>
              <w:jc w:val="center"/>
            </w:pPr>
            <w:r>
              <w:t>100</w:t>
            </w:r>
          </w:p>
        </w:tc>
        <w:tc>
          <w:tcPr>
            <w:tcW w:w="833" w:type="pct"/>
          </w:tcPr>
          <w:p w14:paraId="241B1650" w14:textId="77777777" w:rsidR="00BF4732" w:rsidRDefault="006C512A" w:rsidP="005A47D1">
            <w:pPr>
              <w:jc w:val="center"/>
            </w:pPr>
            <w:r>
              <w:t>1,33</w:t>
            </w:r>
          </w:p>
        </w:tc>
      </w:tr>
      <w:tr w:rsidR="005A47D1" w14:paraId="716D9F30" w14:textId="77777777" w:rsidTr="00071474">
        <w:tc>
          <w:tcPr>
            <w:tcW w:w="833" w:type="pct"/>
            <w:tcBorders>
              <w:left w:val="nil"/>
              <w:bottom w:val="nil"/>
              <w:right w:val="nil"/>
            </w:tcBorders>
          </w:tcPr>
          <w:p w14:paraId="61458416" w14:textId="77777777" w:rsidR="005A47D1" w:rsidRDefault="005A47D1" w:rsidP="005A47D1"/>
        </w:tc>
        <w:tc>
          <w:tcPr>
            <w:tcW w:w="83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E9243F" w14:textId="77777777" w:rsidR="005A47D1" w:rsidRDefault="005A47D1" w:rsidP="005A47D1">
            <w:pPr>
              <w:jc w:val="center"/>
            </w:pPr>
          </w:p>
        </w:tc>
        <w:tc>
          <w:tcPr>
            <w:tcW w:w="833" w:type="pct"/>
            <w:tcBorders>
              <w:left w:val="nil"/>
              <w:bottom w:val="nil"/>
              <w:right w:val="nil"/>
            </w:tcBorders>
          </w:tcPr>
          <w:p w14:paraId="05206014" w14:textId="77777777" w:rsidR="005A47D1" w:rsidRDefault="005A47D1" w:rsidP="005A47D1">
            <w:pPr>
              <w:jc w:val="center"/>
            </w:pPr>
          </w:p>
        </w:tc>
        <w:tc>
          <w:tcPr>
            <w:tcW w:w="833" w:type="pct"/>
            <w:tcBorders>
              <w:left w:val="nil"/>
              <w:bottom w:val="nil"/>
            </w:tcBorders>
          </w:tcPr>
          <w:p w14:paraId="461294EA" w14:textId="77777777" w:rsidR="005A47D1" w:rsidRDefault="005A47D1" w:rsidP="005A47D1">
            <w:pPr>
              <w:jc w:val="center"/>
            </w:pPr>
          </w:p>
        </w:tc>
        <w:tc>
          <w:tcPr>
            <w:tcW w:w="833" w:type="pct"/>
          </w:tcPr>
          <w:p w14:paraId="51E7B0F2" w14:textId="77777777" w:rsidR="005A47D1" w:rsidRPr="005A47D1" w:rsidRDefault="005A47D1" w:rsidP="005A47D1">
            <w:pPr>
              <w:jc w:val="center"/>
              <w:rPr>
                <w:b/>
              </w:rPr>
            </w:pPr>
            <w:r w:rsidRPr="005A47D1">
              <w:rPr>
                <w:b/>
              </w:rPr>
              <w:t>Sum = χ</w:t>
            </w:r>
            <w:r w:rsidRPr="006C512A">
              <w:rPr>
                <w:b/>
                <w:vertAlign w:val="superscript"/>
              </w:rPr>
              <w:t>2</w:t>
            </w:r>
            <w:r w:rsidRPr="005A47D1">
              <w:rPr>
                <w:b/>
              </w:rPr>
              <w:t xml:space="preserve"> =</w:t>
            </w:r>
          </w:p>
        </w:tc>
        <w:tc>
          <w:tcPr>
            <w:tcW w:w="833" w:type="pct"/>
            <w:shd w:val="clear" w:color="auto" w:fill="BFBFBF" w:themeFill="background1" w:themeFillShade="BF"/>
          </w:tcPr>
          <w:p w14:paraId="407C08E2" w14:textId="62E114C9" w:rsidR="005A47D1" w:rsidRDefault="00D203A7" w:rsidP="005A47D1">
            <w:pPr>
              <w:jc w:val="center"/>
            </w:pPr>
            <w:r>
              <w:t>2,67</w:t>
            </w:r>
          </w:p>
        </w:tc>
      </w:tr>
    </w:tbl>
    <w:p w14:paraId="1580F385" w14:textId="77777777" w:rsidR="00F66492" w:rsidRDefault="00F66492"/>
    <w:p w14:paraId="0F0AEB31" w14:textId="1EF48501" w:rsidR="007C6470" w:rsidRDefault="007C6470" w:rsidP="007C6470">
      <w:r>
        <w:t xml:space="preserve">Summen af søjle 6 er lig </w:t>
      </w:r>
      <w:r w:rsidR="00B61E49">
        <w:t xml:space="preserve">med </w:t>
      </w:r>
      <w:r w:rsidR="006C512A" w:rsidRPr="0077683A">
        <w:rPr>
          <w:b/>
        </w:rPr>
        <w:t>χ</w:t>
      </w:r>
      <w:r w:rsidR="006C512A" w:rsidRPr="0077683A">
        <w:rPr>
          <w:b/>
          <w:vertAlign w:val="superscript"/>
        </w:rPr>
        <w:t>2</w:t>
      </w:r>
      <w:r w:rsidR="005B29D4" w:rsidRPr="0077683A">
        <w:rPr>
          <w:b/>
        </w:rPr>
        <w:t>-</w:t>
      </w:r>
      <w:r w:rsidR="00631C9B" w:rsidRPr="0077683A">
        <w:rPr>
          <w:b/>
        </w:rPr>
        <w:t>teststørrelsen</w:t>
      </w:r>
      <w:r w:rsidR="006C512A">
        <w:t xml:space="preserve">. Vi sammenligner nu </w:t>
      </w:r>
      <w:r w:rsidR="0077683A" w:rsidRPr="007C6CBD">
        <w:t>χ</w:t>
      </w:r>
      <w:r w:rsidR="0077683A" w:rsidRPr="006C512A">
        <w:rPr>
          <w:vertAlign w:val="superscript"/>
        </w:rPr>
        <w:t>2</w:t>
      </w:r>
      <w:r w:rsidR="0077683A">
        <w:t>-t</w:t>
      </w:r>
      <w:r w:rsidR="00631C9B">
        <w:t>eststørrelsen</w:t>
      </w:r>
      <w:r w:rsidR="006C512A">
        <w:t xml:space="preserve"> med </w:t>
      </w:r>
      <w:r w:rsidR="006C512A" w:rsidRPr="008937F2">
        <w:rPr>
          <w:b/>
        </w:rPr>
        <w:t>de</w:t>
      </w:r>
      <w:r w:rsidR="00930C44">
        <w:rPr>
          <w:b/>
        </w:rPr>
        <w:t>n</w:t>
      </w:r>
      <w:r w:rsidR="006C512A" w:rsidRPr="008937F2">
        <w:rPr>
          <w:b/>
        </w:rPr>
        <w:t xml:space="preserve"> k</w:t>
      </w:r>
      <w:r w:rsidR="00930C44">
        <w:rPr>
          <w:b/>
        </w:rPr>
        <w:t>ritiske værdi</w:t>
      </w:r>
      <w:r w:rsidR="006C512A" w:rsidRPr="00C26A13">
        <w:t xml:space="preserve"> </w:t>
      </w:r>
      <w:r w:rsidR="006C512A">
        <w:t xml:space="preserve">for </w:t>
      </w:r>
      <w:r w:rsidR="006C512A" w:rsidRPr="007C6CBD">
        <w:t>χ</w:t>
      </w:r>
      <w:r w:rsidR="006C512A" w:rsidRPr="006C512A">
        <w:rPr>
          <w:vertAlign w:val="superscript"/>
        </w:rPr>
        <w:t>2</w:t>
      </w:r>
      <w:r w:rsidR="006C512A">
        <w:t xml:space="preserve"> i </w:t>
      </w:r>
      <w:r w:rsidR="008937F2">
        <w:t>Tabel 2 (</w:t>
      </w:r>
      <w:r w:rsidR="006C512A">
        <w:t>tab</w:t>
      </w:r>
      <w:r w:rsidR="008937F2">
        <w:t xml:space="preserve">ellen over kritiske værdier for </w:t>
      </w:r>
      <w:r w:rsidR="008937F2" w:rsidRPr="007C6CBD">
        <w:t>χ</w:t>
      </w:r>
      <w:r w:rsidR="008937F2" w:rsidRPr="006C512A">
        <w:rPr>
          <w:vertAlign w:val="superscript"/>
        </w:rPr>
        <w:t>2</w:t>
      </w:r>
      <w:r w:rsidR="003B45B4">
        <w:t>-f</w:t>
      </w:r>
      <w:r w:rsidR="008937F2">
        <w:t>ordel</w:t>
      </w:r>
      <w:r w:rsidR="00F733F3">
        <w:t>ingen). Den kritiske værdi findes vha</w:t>
      </w:r>
      <w:r w:rsidR="00F733F3" w:rsidRPr="00F733F3">
        <w:t xml:space="preserve">. </w:t>
      </w:r>
      <w:r w:rsidR="00F733F3">
        <w:rPr>
          <w:b/>
        </w:rPr>
        <w:t>an</w:t>
      </w:r>
      <w:r w:rsidRPr="008937F2">
        <w:rPr>
          <w:b/>
        </w:rPr>
        <w:t>tallet af frihedsgrader</w:t>
      </w:r>
      <w:r>
        <w:t xml:space="preserve"> (</w:t>
      </w:r>
      <w:r w:rsidRPr="003976FB">
        <w:rPr>
          <w:i/>
        </w:rPr>
        <w:t>ν</w:t>
      </w:r>
      <w:r>
        <w:t>)</w:t>
      </w:r>
      <w:r w:rsidR="00F733F3">
        <w:t>, som</w:t>
      </w:r>
      <w:r>
        <w:t xml:space="preserve"> er lig antallet af klasser (her: hanfrøer og hunfrøer) minus én, dvs. i eksemplet med frøerne: 2 klasser – 1 = 1 frihedsgrad</w:t>
      </w:r>
      <w:r w:rsidR="00F733F3">
        <w:t xml:space="preserve">, og vha. </w:t>
      </w:r>
      <w:r w:rsidR="00F733F3" w:rsidRPr="00F733F3">
        <w:rPr>
          <w:b/>
        </w:rPr>
        <w:t>signifikansniveauet</w:t>
      </w:r>
      <w:r w:rsidR="00F733F3">
        <w:t>, α.</w:t>
      </w:r>
    </w:p>
    <w:p w14:paraId="04955C02" w14:textId="552EB8BA" w:rsidR="009F5286" w:rsidRPr="00C26A13" w:rsidRDefault="009F5286" w:rsidP="009F5286">
      <w:r>
        <w:t>Ved opslag i Tabel 2 ud for 1 frihedsgrad (</w:t>
      </w:r>
      <w:r w:rsidRPr="003976FB">
        <w:rPr>
          <w:i/>
        </w:rPr>
        <w:t>v</w:t>
      </w:r>
      <w:r>
        <w:t xml:space="preserve"> = 1) og α = 0,05 ses det, at den kritiske værdi er 3,841.</w:t>
      </w:r>
    </w:p>
    <w:p w14:paraId="22856FC4" w14:textId="77777777" w:rsidR="008937F2" w:rsidRDefault="008937F2" w:rsidP="00535B4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Brug beslutningsreglen:</w:t>
      </w:r>
    </w:p>
    <w:p w14:paraId="741D660D" w14:textId="77777777" w:rsidR="006C512A" w:rsidRDefault="008937F2" w:rsidP="00535B4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44396">
        <w:rPr>
          <w:b/>
        </w:rPr>
        <w:t>hvis χ</w:t>
      </w:r>
      <w:r w:rsidRPr="00044396">
        <w:rPr>
          <w:b/>
          <w:vertAlign w:val="superscript"/>
        </w:rPr>
        <w:t>2</w:t>
      </w:r>
      <w:r w:rsidRPr="00044396">
        <w:rPr>
          <w:b/>
        </w:rPr>
        <w:t xml:space="preserve"> ≥ den kritiske værdi, skal vi forkaste H</w:t>
      </w:r>
      <w:r w:rsidRPr="00044396">
        <w:rPr>
          <w:b/>
          <w:vertAlign w:val="subscript"/>
        </w:rPr>
        <w:t>0</w:t>
      </w:r>
      <w:r>
        <w:t xml:space="preserve"> og konkludere, at resultaterne er signifikante ved α = 0,05.</w:t>
      </w:r>
    </w:p>
    <w:p w14:paraId="191A98E3" w14:textId="43535D77" w:rsidR="002C2835" w:rsidRDefault="00573DF1" w:rsidP="007C6470">
      <w:pPr>
        <w:spacing w:after="120"/>
      </w:pPr>
      <w:r w:rsidRPr="00573DF1">
        <w:rPr>
          <w:b/>
        </w:rPr>
        <w:t>Konklusion</w:t>
      </w:r>
      <w:r>
        <w:t xml:space="preserve">: da </w:t>
      </w:r>
      <w:r w:rsidR="009F5286" w:rsidRPr="007C6CBD">
        <w:t>χ</w:t>
      </w:r>
      <w:r w:rsidR="009F5286" w:rsidRPr="006C512A">
        <w:rPr>
          <w:vertAlign w:val="superscript"/>
        </w:rPr>
        <w:t>2</w:t>
      </w:r>
      <w:r w:rsidR="009F5286">
        <w:t>-t</w:t>
      </w:r>
      <w:r>
        <w:t xml:space="preserve">eststørrelsen </w:t>
      </w:r>
      <w:r w:rsidR="00D203A7">
        <w:t>(2,67</w:t>
      </w:r>
      <w:r w:rsidR="00C130D2">
        <w:t xml:space="preserve">) </w:t>
      </w:r>
      <w:r w:rsidR="00044396">
        <w:t>er</w:t>
      </w:r>
      <w:r>
        <w:t xml:space="preserve"> </w:t>
      </w:r>
      <w:r w:rsidRPr="00497D58">
        <w:rPr>
          <w:b/>
        </w:rPr>
        <w:t>mindre</w:t>
      </w:r>
      <w:r>
        <w:t xml:space="preserve"> end den kritiske værdi </w:t>
      </w:r>
      <w:r w:rsidR="00497D58">
        <w:t xml:space="preserve">(3,841) </w:t>
      </w:r>
      <w:r>
        <w:t>ved α = 0,05</w:t>
      </w:r>
      <w:r w:rsidR="002C2835">
        <w:t xml:space="preserve">, kan nulhypotesen </w:t>
      </w:r>
      <w:r w:rsidR="002C2835" w:rsidRPr="00573DF1">
        <w:rPr>
          <w:b/>
        </w:rPr>
        <w:t>ikke</w:t>
      </w:r>
      <w:r>
        <w:t xml:space="preserve"> forkastes – det vil sige: </w:t>
      </w:r>
      <w:r w:rsidR="002877B0">
        <w:t xml:space="preserve">vi kan ikke afvise, at </w:t>
      </w:r>
      <w:r>
        <w:t>antallet af hanfrøer er lig antallet af hunfrøer i mosen</w:t>
      </w:r>
      <w:r w:rsidR="002877B0">
        <w:t>, og dermed ikke afvise, at</w:t>
      </w:r>
      <w:r w:rsidR="00044396">
        <w:t xml:space="preserve"> </w:t>
      </w:r>
      <w:r>
        <w:t>kønsrationen er 1:1.</w:t>
      </w:r>
    </w:p>
    <w:p w14:paraId="03233F84" w14:textId="77777777" w:rsidR="009F5286" w:rsidRDefault="009F5286" w:rsidP="007C6470">
      <w:pPr>
        <w:spacing w:after="120"/>
      </w:pPr>
    </w:p>
    <w:p w14:paraId="2ACE7DD4" w14:textId="77777777" w:rsidR="002C2835" w:rsidRDefault="00573DF1" w:rsidP="00CD67D1">
      <w:pPr>
        <w:shd w:val="clear" w:color="auto" w:fill="BFBFBF" w:themeFill="background1" w:themeFillShade="BF"/>
        <w:spacing w:after="0"/>
        <w:jc w:val="center"/>
      </w:pPr>
      <w:r>
        <w:t xml:space="preserve">NB! Testen kan udvides med flere klasser efter behov, </w:t>
      </w:r>
      <w:r w:rsidR="00DA315F">
        <w:t>og</w:t>
      </w:r>
      <w:r>
        <w:t xml:space="preserve"> signifikansniveauet (α) kan ændres.</w:t>
      </w:r>
    </w:p>
    <w:p w14:paraId="2FB97ADA" w14:textId="5B270622" w:rsidR="009F5286" w:rsidRDefault="009F5286" w:rsidP="00CD67D1">
      <w:pPr>
        <w:shd w:val="clear" w:color="auto" w:fill="BFBFBF" w:themeFill="background1" w:themeFillShade="BF"/>
        <w:spacing w:after="0"/>
        <w:jc w:val="center"/>
      </w:pPr>
      <w:r>
        <w:t>Krav: ved test med to kategorier skal begge forventede værdier være &gt; 5; ved test med tre eller flere kategorier, må max. 20% af de forventede værdier være &lt; 5, og ingen forventet værdi må være &lt; 2.</w:t>
      </w:r>
    </w:p>
    <w:p w14:paraId="4EBDEE61" w14:textId="77777777" w:rsidR="00C140C2" w:rsidRDefault="00C140C2" w:rsidP="000F59C8">
      <w:pPr>
        <w:spacing w:after="0"/>
        <w:jc w:val="center"/>
      </w:pPr>
    </w:p>
    <w:p w14:paraId="676EDA33" w14:textId="7A485369" w:rsidR="007C6470" w:rsidRDefault="007C6470" w:rsidP="00CD67D1">
      <w:pPr>
        <w:shd w:val="clear" w:color="auto" w:fill="BFBFBF" w:themeFill="background1" w:themeFillShade="BF"/>
        <w:spacing w:after="0"/>
        <w:jc w:val="center"/>
      </w:pPr>
      <w:r>
        <w:t>Se</w:t>
      </w:r>
      <w:r w:rsidR="009F5286">
        <w:t xml:space="preserve"> også</w:t>
      </w:r>
      <w:r>
        <w:t xml:space="preserve">: </w:t>
      </w:r>
      <w:hyperlink r:id="rId14" w:history="1">
        <w:r w:rsidRPr="0052679B">
          <w:rPr>
            <w:rStyle w:val="Hyperlink"/>
          </w:rPr>
          <w:t>http://www.webmatematik.dk/lektioner/matematik-b/statistik/chi%5E2-((chi%5E2))-test</w:t>
        </w:r>
      </w:hyperlink>
    </w:p>
    <w:p w14:paraId="22B5C400" w14:textId="0E013052" w:rsidR="0070045A" w:rsidRPr="00C140C2" w:rsidRDefault="0070045A" w:rsidP="009F5286">
      <w:pPr>
        <w:spacing w:after="0"/>
        <w:rPr>
          <w:b/>
          <w:i/>
        </w:rPr>
      </w:pPr>
      <w:r w:rsidRPr="00C140C2">
        <w:rPr>
          <w:b/>
          <w:i/>
        </w:rPr>
        <w:lastRenderedPageBreak/>
        <w:t>Tabel 2. Kritiske værdier for χ</w:t>
      </w:r>
      <w:r w:rsidRPr="00C140C2">
        <w:rPr>
          <w:b/>
          <w:i/>
          <w:vertAlign w:val="superscript"/>
        </w:rPr>
        <w:t>2</w:t>
      </w:r>
      <w:r w:rsidRPr="00C140C2">
        <w:rPr>
          <w:b/>
          <w:i/>
        </w:rPr>
        <w:t xml:space="preserve"> fordelingen.</w:t>
      </w:r>
    </w:p>
    <w:p w14:paraId="01E3CC09" w14:textId="77777777" w:rsidR="008F6C79" w:rsidRDefault="008F6C79" w:rsidP="0070045A">
      <w:pPr>
        <w:spacing w:after="0"/>
      </w:pPr>
      <w:r>
        <w:rPr>
          <w:noProof/>
          <w:lang w:eastAsia="da-DK"/>
        </w:rPr>
        <w:drawing>
          <wp:inline distT="0" distB="0" distL="0" distR="0" wp14:anchorId="672E340E" wp14:editId="728FF305">
            <wp:extent cx="6119446" cy="4697942"/>
            <wp:effectExtent l="0" t="0" r="0" b="7620"/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5"/>
                    <a:srcRect l="5604" t="8505" r="25144" b="6437"/>
                    <a:stretch/>
                  </pic:blipFill>
                  <pic:spPr bwMode="auto">
                    <a:xfrm>
                      <a:off x="0" y="0"/>
                      <a:ext cx="6120663" cy="46988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3FB881E" w14:textId="77777777" w:rsidR="00E91635" w:rsidRDefault="00E91635" w:rsidP="0070045A">
      <w:pPr>
        <w:spacing w:after="0"/>
      </w:pPr>
    </w:p>
    <w:p w14:paraId="43A1D485" w14:textId="77777777" w:rsidR="001C6C43" w:rsidRPr="00BF4732" w:rsidRDefault="001C6C43" w:rsidP="005557B6">
      <w:pPr>
        <w:rPr>
          <w:b/>
        </w:rPr>
      </w:pPr>
      <w:r w:rsidRPr="00C140C2">
        <w:rPr>
          <w:b/>
          <w:highlight w:val="lightGray"/>
        </w:rPr>
        <w:t xml:space="preserve">Trin for trin vejledning til beregning af </w:t>
      </w:r>
      <w:r>
        <w:rPr>
          <w:b/>
          <w:highlight w:val="lightGray"/>
        </w:rPr>
        <w:t>p-værdi</w:t>
      </w:r>
      <w:r w:rsidR="00204265">
        <w:rPr>
          <w:b/>
          <w:highlight w:val="lightGray"/>
        </w:rPr>
        <w:t xml:space="preserve"> i Excel</w:t>
      </w:r>
      <w:r w:rsidRPr="00C140C2">
        <w:rPr>
          <w:b/>
          <w:highlight w:val="lightGray"/>
        </w:rPr>
        <w:t>:</w:t>
      </w:r>
    </w:p>
    <w:p w14:paraId="3262C231" w14:textId="67C3753B" w:rsidR="00E91635" w:rsidRDefault="004F7A18" w:rsidP="0070045A">
      <w:pPr>
        <w:spacing w:after="0"/>
      </w:pPr>
      <w:r>
        <w:t xml:space="preserve">Ifølge </w:t>
      </w:r>
      <w:hyperlink r:id="rId16" w:history="1">
        <w:r w:rsidRPr="00327760">
          <w:rPr>
            <w:rStyle w:val="Hyperlink"/>
          </w:rPr>
          <w:t>www.webmatematik.dk</w:t>
        </w:r>
      </w:hyperlink>
      <w:r>
        <w:t xml:space="preserve"> kan </w:t>
      </w:r>
      <w:r w:rsidR="00204265">
        <w:t>vi</w:t>
      </w:r>
      <w:r w:rsidR="00E91635">
        <w:t xml:space="preserve"> også </w:t>
      </w:r>
      <w:r>
        <w:t xml:space="preserve">evaluere </w:t>
      </w:r>
      <w:r w:rsidR="00204265">
        <w:t xml:space="preserve">vores </w:t>
      </w:r>
      <w:r w:rsidRPr="007C6CBD">
        <w:t>χ</w:t>
      </w:r>
      <w:r w:rsidRPr="006C512A">
        <w:rPr>
          <w:vertAlign w:val="superscript"/>
        </w:rPr>
        <w:t>2</w:t>
      </w:r>
      <w:r w:rsidR="009647D5">
        <w:t>-t</w:t>
      </w:r>
      <w:r>
        <w:t xml:space="preserve">est ved hjælp af </w:t>
      </w:r>
      <w:r w:rsidRPr="0042156B">
        <w:rPr>
          <w:b/>
        </w:rPr>
        <w:t>p-værdier</w:t>
      </w:r>
      <w:r>
        <w:t xml:space="preserve"> (probability values). </w:t>
      </w:r>
      <w:r w:rsidR="00E91635">
        <w:t xml:space="preserve">Excel </w:t>
      </w:r>
      <w:r>
        <w:t>kan</w:t>
      </w:r>
      <w:r w:rsidR="00E91635">
        <w:t xml:space="preserve"> udregne p-værdien, dvs. sandsynligheden for at </w:t>
      </w:r>
      <w:r w:rsidR="001C6C43">
        <w:t xml:space="preserve">få de observerede værdier </w:t>
      </w:r>
      <w:r w:rsidR="0042156B">
        <w:t xml:space="preserve">eller værdier endnu længere fra de forventede værdier </w:t>
      </w:r>
      <w:r w:rsidR="001C6C43">
        <w:t>under forudsætning af,</w:t>
      </w:r>
      <w:r w:rsidR="00E91635">
        <w:t xml:space="preserve"> at nulhypotesen </w:t>
      </w:r>
      <w:r w:rsidR="00E91635" w:rsidRPr="005428F2">
        <w:rPr>
          <w:b/>
        </w:rPr>
        <w:t>ikke</w:t>
      </w:r>
      <w:r w:rsidR="00E91635">
        <w:t xml:space="preserve"> er forkert.</w:t>
      </w:r>
    </w:p>
    <w:p w14:paraId="11C09D68" w14:textId="77777777" w:rsidR="004F7A18" w:rsidRDefault="004F7A18" w:rsidP="0070045A">
      <w:pPr>
        <w:spacing w:after="0"/>
      </w:pPr>
    </w:p>
    <w:p w14:paraId="25635CD3" w14:textId="52B34D1A" w:rsidR="00E91635" w:rsidRDefault="00E91635" w:rsidP="0070045A">
      <w:pPr>
        <w:spacing w:after="0"/>
      </w:pPr>
      <w:r>
        <w:t>P-værdien kan findes i Excel ved hjælp af formlen:</w:t>
      </w:r>
      <w:r>
        <w:tab/>
      </w:r>
      <w:r>
        <w:tab/>
        <w:t>=CHI</w:t>
      </w:r>
      <w:r w:rsidR="00B730D5">
        <w:t>2.</w:t>
      </w:r>
      <w:r>
        <w:t>FORD</w:t>
      </w:r>
      <w:r w:rsidR="00B730D5">
        <w:t>.RT</w:t>
      </w:r>
      <w:r>
        <w:t>(teststørrelse; frihedsgrader)</w:t>
      </w:r>
    </w:p>
    <w:p w14:paraId="6FECCD69" w14:textId="77777777" w:rsidR="00E91635" w:rsidRDefault="00E91635" w:rsidP="0070045A">
      <w:pPr>
        <w:spacing w:after="0"/>
      </w:pPr>
    </w:p>
    <w:p w14:paraId="6A912F46" w14:textId="43A1BAD5" w:rsidR="00E91635" w:rsidRDefault="00E91635" w:rsidP="0070045A">
      <w:pPr>
        <w:spacing w:after="0"/>
      </w:pPr>
      <w:r>
        <w:t>I vores eksempel med frøerne ville vi indtaste:</w:t>
      </w:r>
      <w:r>
        <w:tab/>
      </w:r>
      <w:r w:rsidR="001C6C43">
        <w:tab/>
      </w:r>
      <w:r>
        <w:t>=</w:t>
      </w:r>
      <w:r w:rsidR="00B730D5">
        <w:t>CHI2.FORD.RT</w:t>
      </w:r>
      <w:r>
        <w:t>(2,6</w:t>
      </w:r>
      <w:r w:rsidR="00D203A7">
        <w:t>7</w:t>
      </w:r>
      <w:r>
        <w:t>;1)</w:t>
      </w:r>
    </w:p>
    <w:p w14:paraId="5ECF93A1" w14:textId="753E8FC8" w:rsidR="00E91635" w:rsidRDefault="00204265" w:rsidP="0070045A">
      <w:pPr>
        <w:spacing w:after="0"/>
      </w:pPr>
      <w:r>
        <w:t xml:space="preserve">Så ville vi </w:t>
      </w:r>
      <w:r w:rsidR="00E91635">
        <w:t>tryk</w:t>
      </w:r>
      <w:r>
        <w:t>ke</w:t>
      </w:r>
      <w:r w:rsidR="00E91635">
        <w:t xml:space="preserve"> Enter og få resultatet:</w:t>
      </w:r>
      <w:r w:rsidR="00E91635">
        <w:tab/>
      </w:r>
      <w:r w:rsidR="00E91635">
        <w:tab/>
      </w:r>
      <w:r w:rsidR="00E91635">
        <w:tab/>
        <w:t>0,102</w:t>
      </w:r>
      <w:r w:rsidR="00D203A7">
        <w:t>47</w:t>
      </w:r>
      <w:r w:rsidR="00E91635">
        <w:t xml:space="preserve"> svarende til 10,</w:t>
      </w:r>
      <w:r w:rsidR="00D203A7">
        <w:t>2</w:t>
      </w:r>
      <w:r w:rsidR="00E91635">
        <w:t>%</w:t>
      </w:r>
    </w:p>
    <w:p w14:paraId="5C5F6359" w14:textId="77777777" w:rsidR="001C6C43" w:rsidRDefault="001C6C43" w:rsidP="0070045A">
      <w:pPr>
        <w:spacing w:after="0"/>
      </w:pPr>
    </w:p>
    <w:p w14:paraId="1E24F115" w14:textId="0D468F9C" w:rsidR="005428F2" w:rsidRDefault="00D203A7" w:rsidP="005428F2">
      <w:pPr>
        <w:spacing w:after="240"/>
      </w:pPr>
      <w:r>
        <w:t>Dvs. der er 10,2</w:t>
      </w:r>
      <w:r w:rsidR="001C6C43">
        <w:t>% sandsynlighed for, at man obs</w:t>
      </w:r>
      <w:r w:rsidR="004427DC">
        <w:t>erverer 65 hanner og 85 hunner eller et resultat, der ligger endnu længere fra den lige fordeling</w:t>
      </w:r>
      <w:r w:rsidR="005428F2">
        <w:t xml:space="preserve"> med 75 frøer af hvert køn</w:t>
      </w:r>
      <w:r w:rsidR="004427DC">
        <w:t xml:space="preserve">, </w:t>
      </w:r>
      <w:r w:rsidR="001C6C43">
        <w:t>hvis kønsratioen er 1:1.</w:t>
      </w:r>
    </w:p>
    <w:p w14:paraId="69D4710F" w14:textId="5F34CDD1" w:rsidR="009F5286" w:rsidRDefault="005428F2" w:rsidP="009F5286">
      <w:pPr>
        <w:spacing w:after="240"/>
      </w:pPr>
      <w:r w:rsidRPr="005428F2">
        <w:rPr>
          <w:b/>
        </w:rPr>
        <w:t>Konklusion</w:t>
      </w:r>
      <w:r>
        <w:t>: d</w:t>
      </w:r>
      <w:r w:rsidR="00D203A7">
        <w:t>a 10,2</w:t>
      </w:r>
      <w:r w:rsidR="001C6C43">
        <w:t>% er større end signifikansniveauet på 5%, kan vi ikke forkaste nulhypotesen</w:t>
      </w:r>
      <w:r>
        <w:t xml:space="preserve"> og dermed ikke afvise,</w:t>
      </w:r>
      <w:r w:rsidR="004427DC">
        <w:t xml:space="preserve"> at</w:t>
      </w:r>
      <w:r w:rsidR="001C6C43">
        <w:t xml:space="preserve"> kønsratioen er 1:1.</w:t>
      </w:r>
    </w:p>
    <w:p w14:paraId="51D2473D" w14:textId="3B59975A" w:rsidR="00204265" w:rsidRPr="00756FF7" w:rsidRDefault="00204265" w:rsidP="009F5286">
      <w:pPr>
        <w:spacing w:after="240"/>
      </w:pPr>
      <w:r>
        <w:t xml:space="preserve">I Tabel 2 kan vi se, at vores </w:t>
      </w:r>
      <w:r w:rsidRPr="00204265">
        <w:t>χ</w:t>
      </w:r>
      <w:r w:rsidRPr="00204265">
        <w:rPr>
          <w:vertAlign w:val="superscript"/>
        </w:rPr>
        <w:t>2</w:t>
      </w:r>
      <w:r>
        <w:t xml:space="preserve"> </w:t>
      </w:r>
      <w:r w:rsidR="004427DC">
        <w:t xml:space="preserve">på </w:t>
      </w:r>
      <w:r w:rsidRPr="00204265">
        <w:t>2</w:t>
      </w:r>
      <w:r>
        <w:t>,6</w:t>
      </w:r>
      <w:r w:rsidR="00D203A7">
        <w:t>7</w:t>
      </w:r>
      <w:r>
        <w:t xml:space="preserve"> ligger tæt på den kritiske værdi 2,706, der svarer til α = 0,1 (= 10%).</w:t>
      </w:r>
    </w:p>
    <w:sectPr w:rsidR="00204265" w:rsidRPr="00756FF7" w:rsidSect="00D6757C">
      <w:type w:val="continuous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B3E18" w14:textId="77777777" w:rsidR="009B6F06" w:rsidRDefault="009B6F06" w:rsidP="00573DF1">
      <w:pPr>
        <w:spacing w:after="0" w:line="240" w:lineRule="auto"/>
      </w:pPr>
      <w:r>
        <w:separator/>
      </w:r>
    </w:p>
  </w:endnote>
  <w:endnote w:type="continuationSeparator" w:id="0">
    <w:p w14:paraId="46EB516A" w14:textId="77777777" w:rsidR="009B6F06" w:rsidRDefault="009B6F06" w:rsidP="00573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phor W01 Italic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8474989"/>
      <w:docPartObj>
        <w:docPartGallery w:val="Page Numbers (Bottom of Page)"/>
        <w:docPartUnique/>
      </w:docPartObj>
    </w:sdtPr>
    <w:sdtContent>
      <w:p w14:paraId="64571168" w14:textId="77777777" w:rsidR="0079073E" w:rsidRDefault="0079073E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03A7">
          <w:rPr>
            <w:noProof/>
          </w:rPr>
          <w:t>3</w:t>
        </w:r>
        <w:r>
          <w:fldChar w:fldCharType="end"/>
        </w:r>
      </w:p>
    </w:sdtContent>
  </w:sdt>
  <w:p w14:paraId="7B43A229" w14:textId="77777777" w:rsidR="0079073E" w:rsidRDefault="0079073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7C9C8" w14:textId="77777777" w:rsidR="009B6F06" w:rsidRDefault="009B6F06" w:rsidP="00573DF1">
      <w:pPr>
        <w:spacing w:after="0" w:line="240" w:lineRule="auto"/>
      </w:pPr>
      <w:r>
        <w:separator/>
      </w:r>
    </w:p>
  </w:footnote>
  <w:footnote w:type="continuationSeparator" w:id="0">
    <w:p w14:paraId="5F9A9039" w14:textId="77777777" w:rsidR="009B6F06" w:rsidRDefault="009B6F06" w:rsidP="00573D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BA4BB" w14:textId="77777777" w:rsidR="0079073E" w:rsidRDefault="0079073E">
    <w:pPr>
      <w:pStyle w:val="Sidehoved"/>
      <w:jc w:val="center"/>
    </w:pPr>
  </w:p>
  <w:p w14:paraId="2CBB8F0C" w14:textId="77777777" w:rsidR="0079073E" w:rsidRDefault="0079073E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6FF7"/>
    <w:rsid w:val="000179FC"/>
    <w:rsid w:val="00044396"/>
    <w:rsid w:val="00071474"/>
    <w:rsid w:val="000E1DBB"/>
    <w:rsid w:val="000F59C8"/>
    <w:rsid w:val="001B5C9A"/>
    <w:rsid w:val="001C6C43"/>
    <w:rsid w:val="001F51C7"/>
    <w:rsid w:val="00204265"/>
    <w:rsid w:val="0021767E"/>
    <w:rsid w:val="002877B0"/>
    <w:rsid w:val="002C2835"/>
    <w:rsid w:val="0033416E"/>
    <w:rsid w:val="00356D5C"/>
    <w:rsid w:val="003976FB"/>
    <w:rsid w:val="003B45B4"/>
    <w:rsid w:val="003C659E"/>
    <w:rsid w:val="003F5A50"/>
    <w:rsid w:val="0042156B"/>
    <w:rsid w:val="00432B69"/>
    <w:rsid w:val="0044139D"/>
    <w:rsid w:val="004427DC"/>
    <w:rsid w:val="00497D58"/>
    <w:rsid w:val="004D151C"/>
    <w:rsid w:val="004F7A18"/>
    <w:rsid w:val="00503515"/>
    <w:rsid w:val="00535B40"/>
    <w:rsid w:val="005428F2"/>
    <w:rsid w:val="005557B6"/>
    <w:rsid w:val="00573DF1"/>
    <w:rsid w:val="005A47D1"/>
    <w:rsid w:val="005B29D4"/>
    <w:rsid w:val="005C00B4"/>
    <w:rsid w:val="00631C9B"/>
    <w:rsid w:val="006545EA"/>
    <w:rsid w:val="006C512A"/>
    <w:rsid w:val="0070045A"/>
    <w:rsid w:val="007054F7"/>
    <w:rsid w:val="00756FF7"/>
    <w:rsid w:val="0077683A"/>
    <w:rsid w:val="0079073E"/>
    <w:rsid w:val="007C6470"/>
    <w:rsid w:val="007C6CBD"/>
    <w:rsid w:val="00827A4F"/>
    <w:rsid w:val="008718CD"/>
    <w:rsid w:val="008937F2"/>
    <w:rsid w:val="008E2DCA"/>
    <w:rsid w:val="008F6C79"/>
    <w:rsid w:val="00930C44"/>
    <w:rsid w:val="009647D5"/>
    <w:rsid w:val="009A7C3D"/>
    <w:rsid w:val="009B6F06"/>
    <w:rsid w:val="009C3E05"/>
    <w:rsid w:val="009F08C0"/>
    <w:rsid w:val="009F5286"/>
    <w:rsid w:val="00A67122"/>
    <w:rsid w:val="00A70FC1"/>
    <w:rsid w:val="00A86520"/>
    <w:rsid w:val="00B61E49"/>
    <w:rsid w:val="00B730D5"/>
    <w:rsid w:val="00B86848"/>
    <w:rsid w:val="00BB248C"/>
    <w:rsid w:val="00BF4732"/>
    <w:rsid w:val="00C06724"/>
    <w:rsid w:val="00C130D2"/>
    <w:rsid w:val="00C140C2"/>
    <w:rsid w:val="00C26A13"/>
    <w:rsid w:val="00CC0553"/>
    <w:rsid w:val="00CD67D1"/>
    <w:rsid w:val="00D203A7"/>
    <w:rsid w:val="00D326C6"/>
    <w:rsid w:val="00D6757C"/>
    <w:rsid w:val="00D6795E"/>
    <w:rsid w:val="00DA315F"/>
    <w:rsid w:val="00E22959"/>
    <w:rsid w:val="00E91635"/>
    <w:rsid w:val="00F66492"/>
    <w:rsid w:val="00F733F3"/>
    <w:rsid w:val="00FB69C2"/>
    <w:rsid w:val="00FD7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6C46AF"/>
  <w15:docId w15:val="{7721C85C-6854-4353-80C5-E8E52B980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1B5C9A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B5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B5C9A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59"/>
    <w:rsid w:val="00BF47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573D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73DF1"/>
  </w:style>
  <w:style w:type="paragraph" w:styleId="Sidefod">
    <w:name w:val="footer"/>
    <w:basedOn w:val="Normal"/>
    <w:link w:val="SidefodTegn"/>
    <w:uiPriority w:val="99"/>
    <w:unhideWhenUsed/>
    <w:rsid w:val="00573D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73DF1"/>
  </w:style>
  <w:style w:type="character" w:styleId="Hyperlink">
    <w:name w:val="Hyperlink"/>
    <w:basedOn w:val="Standardskrifttypeiafsnit"/>
    <w:uiPriority w:val="99"/>
    <w:unhideWhenUsed/>
    <w:rsid w:val="007C6470"/>
    <w:rPr>
      <w:color w:val="0000FF" w:themeColor="hyperlink"/>
      <w:u w:val="single"/>
    </w:rPr>
  </w:style>
  <w:style w:type="character" w:styleId="Fremhv">
    <w:name w:val="Emphasis"/>
    <w:basedOn w:val="Standardskrifttypeiafsnit"/>
    <w:uiPriority w:val="20"/>
    <w:qFormat/>
    <w:rsid w:val="00E91635"/>
    <w:rPr>
      <w:rFonts w:ascii="Camphor W01 Italic" w:hAnsi="Camphor W01 Italic" w:hint="default"/>
      <w:i w:val="0"/>
      <w:iCs w:val="0"/>
    </w:rPr>
  </w:style>
  <w:style w:type="paragraph" w:styleId="NormalWeb">
    <w:name w:val="Normal (Web)"/>
    <w:basedOn w:val="Normal"/>
    <w:uiPriority w:val="99"/>
    <w:semiHidden/>
    <w:unhideWhenUsed/>
    <w:rsid w:val="00E91635"/>
    <w:pPr>
      <w:spacing w:before="300" w:after="0" w:line="375" w:lineRule="atLeast"/>
    </w:pPr>
    <w:rPr>
      <w:rFonts w:ascii="Times New Roman" w:eastAsia="Times New Roman" w:hAnsi="Times New Roman" w:cs="Times New Roman"/>
      <w:sz w:val="26"/>
      <w:szCs w:val="26"/>
      <w:lang w:eastAsia="da-DK"/>
    </w:rPr>
  </w:style>
  <w:style w:type="character" w:customStyle="1" w:styleId="math3">
    <w:name w:val="math3"/>
    <w:basedOn w:val="Standardskrifttypeiafsnit"/>
    <w:rsid w:val="00E91635"/>
    <w:rPr>
      <w:strike w:val="0"/>
      <w:dstrike w:val="0"/>
      <w:vanish w:val="0"/>
      <w:webHidden w:val="0"/>
      <w:position w:val="0"/>
      <w:u w:val="none"/>
      <w:effect w:val="none"/>
      <w:bdr w:val="none" w:sz="0" w:space="0" w:color="auto" w:frame="1"/>
      <w:specVanish w:val="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A86520"/>
    <w:rPr>
      <w:sz w:val="18"/>
      <w:szCs w:val="18"/>
    </w:rPr>
  </w:style>
  <w:style w:type="paragraph" w:styleId="Kommentartekst">
    <w:name w:val="annotation text"/>
    <w:basedOn w:val="Normal"/>
    <w:link w:val="KommentartekstTegn"/>
    <w:uiPriority w:val="99"/>
    <w:unhideWhenUsed/>
    <w:rsid w:val="00A86520"/>
    <w:pPr>
      <w:spacing w:line="240" w:lineRule="auto"/>
    </w:pPr>
    <w:rPr>
      <w:sz w:val="24"/>
      <w:szCs w:val="24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A86520"/>
    <w:rPr>
      <w:sz w:val="24"/>
      <w:szCs w:val="24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A86520"/>
    <w:rPr>
      <w:b/>
      <w:bCs/>
      <w:sz w:val="20"/>
      <w:szCs w:val="20"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A86520"/>
    <w:rPr>
      <w:b/>
      <w:bCs/>
      <w:sz w:val="20"/>
      <w:szCs w:val="20"/>
    </w:rPr>
  </w:style>
  <w:style w:type="character" w:styleId="BesgtLink">
    <w:name w:val="FollowedHyperlink"/>
    <w:basedOn w:val="Standardskrifttypeiafsnit"/>
    <w:uiPriority w:val="99"/>
    <w:semiHidden/>
    <w:unhideWhenUsed/>
    <w:rsid w:val="0079073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89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7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23542">
              <w:marLeft w:val="0"/>
              <w:marRight w:val="3645"/>
              <w:marTop w:val="0"/>
              <w:marBottom w:val="0"/>
              <w:divBdr>
                <w:top w:val="single" w:sz="12" w:space="1" w:color="47828D"/>
                <w:left w:val="none" w:sz="0" w:space="0" w:color="auto"/>
                <w:bottom w:val="single" w:sz="12" w:space="1" w:color="47828D"/>
                <w:right w:val="single" w:sz="12" w:space="1" w:color="47828D"/>
              </w:divBdr>
              <w:divsChild>
                <w:div w:id="93023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57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003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37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180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488195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og-life-cycle.com/26-frog-coloring-pages.html" TargetMode="Externa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hyperlink" Target="javascript:edit(140369)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webmatematik.dk" TargetMode="Externa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image" Target="media/image2.gif"/><Relationship Id="rId5" Type="http://schemas.openxmlformats.org/officeDocument/2006/relationships/endnotes" Target="endnotes.xml"/><Relationship Id="rId15" Type="http://schemas.openxmlformats.org/officeDocument/2006/relationships/image" Target="media/image4.png"/><Relationship Id="rId10" Type="http://schemas.openxmlformats.org/officeDocument/2006/relationships/hyperlink" Target="http://www.frog-life-cycle.com/25-frog-coloring-pages.html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1.gif"/><Relationship Id="rId14" Type="http://schemas.openxmlformats.org/officeDocument/2006/relationships/hyperlink" Target="http://www.webmatematik.dk/lektioner/matematik-b/statistik/chi%5E2-((chi%5E2))-test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784</Words>
  <Characters>4784</Characters>
  <Application>Microsoft Office Word</Application>
  <DocSecurity>0</DocSecurity>
  <Lines>39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</dc:creator>
  <cp:lastModifiedBy>Charlotte Skov</cp:lastModifiedBy>
  <cp:revision>4</cp:revision>
  <dcterms:created xsi:type="dcterms:W3CDTF">2014-04-22T13:21:00Z</dcterms:created>
  <dcterms:modified xsi:type="dcterms:W3CDTF">2026-02-22T22:03:00Z</dcterms:modified>
</cp:coreProperties>
</file>