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D6457" w14:textId="3805A14E" w:rsidR="00D12D88" w:rsidRPr="00CA7FCC" w:rsidRDefault="00CA7FCC" w:rsidP="00CA7FCC">
      <w:pPr>
        <w:shd w:val="clear" w:color="auto" w:fill="FF0000"/>
        <w:rPr>
          <w:b/>
          <w:color w:val="FFFFFF" w:themeColor="background1"/>
        </w:rPr>
      </w:pPr>
      <w:r w:rsidRPr="00CA7FCC">
        <w:rPr>
          <w:b/>
          <w:color w:val="FFFFFF" w:themeColor="background1"/>
        </w:rPr>
        <w:tab/>
      </w:r>
      <w:r>
        <w:rPr>
          <w:b/>
          <w:color w:val="FFFFFF" w:themeColor="background1"/>
        </w:rPr>
        <w:tab/>
        <w:t xml:space="preserve">      </w:t>
      </w:r>
      <w:r w:rsidR="00C35F00">
        <w:rPr>
          <w:b/>
          <w:color w:val="FFFFFF" w:themeColor="background1"/>
        </w:rPr>
        <w:t xml:space="preserve">     </w:t>
      </w:r>
      <w:r w:rsidRPr="00CA7FCC">
        <w:rPr>
          <w:b/>
          <w:color w:val="FFFFFF" w:themeColor="background1"/>
        </w:rPr>
        <w:t>Vejledning til gel-elektroforese</w:t>
      </w:r>
      <w:r w:rsidR="00AA76F1" w:rsidRPr="00AA76F1">
        <w:rPr>
          <w:b/>
          <w:color w:val="FFFFFF" w:themeColor="background1"/>
        </w:rPr>
        <w:t xml:space="preserve"> </w:t>
      </w:r>
      <w:r w:rsidR="00AA76F1">
        <w:rPr>
          <w:b/>
          <w:color w:val="FFFFFF" w:themeColor="background1"/>
        </w:rPr>
        <w:t>del 2</w:t>
      </w:r>
      <w:r w:rsidRPr="00CA7FCC">
        <w:rPr>
          <w:b/>
          <w:color w:val="FFFFFF" w:themeColor="background1"/>
        </w:rPr>
        <w:tab/>
      </w:r>
      <w:r>
        <w:rPr>
          <w:b/>
          <w:color w:val="FFFFFF" w:themeColor="background1"/>
        </w:rPr>
        <w:tab/>
      </w:r>
    </w:p>
    <w:p w14:paraId="771F68AC" w14:textId="77777777" w:rsidR="00CA7FCC" w:rsidRDefault="00CA7FCC"/>
    <w:p w14:paraId="0AFF8433" w14:textId="77777777" w:rsidR="00CA7FCC" w:rsidRDefault="00CA7FCC" w:rsidP="00D8675B">
      <w:pPr>
        <w:pStyle w:val="Overskrift1"/>
      </w:pPr>
      <w:r>
        <w:t>Materialer og metoder (fremgangsmåde):</w:t>
      </w:r>
    </w:p>
    <w:p w14:paraId="077F59CB" w14:textId="77777777" w:rsidR="00CA7FCC" w:rsidRDefault="00CA7FCC"/>
    <w:p w14:paraId="3BA47C3D" w14:textId="77777777" w:rsidR="00CA7FCC" w:rsidRDefault="00AB49A6" w:rsidP="00D61074">
      <w:pPr>
        <w:shd w:val="clear" w:color="auto" w:fill="E7E6E6" w:themeFill="background2"/>
        <w:ind w:left="2608" w:hanging="2608"/>
      </w:pPr>
      <w:r>
        <w:t>Fremstilling af buffer</w:t>
      </w:r>
      <w:r w:rsidR="003B3DA9">
        <w:t>:</w:t>
      </w:r>
      <w:r w:rsidR="003B3DA9">
        <w:tab/>
        <w:t>0,100 g NaCl afvejes i vejeskål på fintfølende digitalvægt og hældes i en 1000 mL målekolbe, som fyldes op med demineraliseret vand. Proppen sættes i og blandingen rystes, til saltet er opløst. Bufferens ioner skal bruges til at lede strømmen og holde pH-værdien stabil under gelelektroforesen.</w:t>
      </w:r>
    </w:p>
    <w:p w14:paraId="303F128B" w14:textId="77777777" w:rsidR="005E2F5C" w:rsidRDefault="003B3DA9" w:rsidP="00D61074">
      <w:pPr>
        <w:shd w:val="clear" w:color="auto" w:fill="E7E6E6" w:themeFill="background2"/>
        <w:spacing w:after="0"/>
        <w:ind w:left="2608" w:hanging="2608"/>
      </w:pPr>
      <w:r>
        <w:t>Fremstilling af</w:t>
      </w:r>
      <w:r w:rsidR="000C2957">
        <w:t xml:space="preserve"> to stk.</w:t>
      </w:r>
    </w:p>
    <w:p w14:paraId="7EB724ED" w14:textId="77777777" w:rsidR="003B3DA9" w:rsidRPr="000C2957" w:rsidRDefault="005E2F5C" w:rsidP="00D61074">
      <w:pPr>
        <w:shd w:val="clear" w:color="auto" w:fill="E7E6E6" w:themeFill="background2"/>
        <w:ind w:left="2608" w:hanging="2608"/>
        <w:rPr>
          <w:rFonts w:cs="Times New Roman"/>
        </w:rPr>
      </w:pPr>
      <w:r>
        <w:t xml:space="preserve">1% </w:t>
      </w:r>
      <w:r w:rsidR="003B3DA9">
        <w:t>agarosegel</w:t>
      </w:r>
      <w:r w:rsidR="000C2957">
        <w:t>er</w:t>
      </w:r>
      <w:r w:rsidR="003B3DA9">
        <w:t>:</w:t>
      </w:r>
      <w:r w:rsidR="003B3DA9">
        <w:tab/>
      </w:r>
      <w:r>
        <w:t>1</w:t>
      </w:r>
      <w:r w:rsidR="003B3DA9">
        <w:t>,000 g agarpulver afvejes i vejeskål på fintfølende digitalvægt og hældes i en 100 mL målekolbe, som fyldes op med demineraliseret vand. Proppen sættes i</w:t>
      </w:r>
      <w:r w:rsidR="00C66C93">
        <w:t>,</w:t>
      </w:r>
      <w:r w:rsidR="003B3DA9">
        <w:t xml:space="preserve"> og blandingen rystes for at fordele agaren i væsken. Blandingen overføres til en BlueCap flaske</w:t>
      </w:r>
      <w:r>
        <w:t xml:space="preserve"> og rystes igen</w:t>
      </w:r>
      <w:r w:rsidR="003B3DA9">
        <w:t xml:space="preserve">. Herefter skrues låget halvt på (skal sidde løst, men ikke falde af), og flasken sættes i mikrobølgeovnen. Blandingen opvarmes i intervaller af 20-30 s, til den bliver gennemsigtig og koger. Tjek evt. temperaturen løbende ved at skrue låget af og stikke et termometer ned i blandingen. </w:t>
      </w:r>
      <w:r w:rsidR="00D8675B">
        <w:t xml:space="preserve">Brug varmehandske. </w:t>
      </w:r>
      <w:r w:rsidR="003B3DA9">
        <w:t xml:space="preserve">Så snart blandingen koger, </w:t>
      </w:r>
      <w:r w:rsidR="003B3DA9" w:rsidRPr="005E2F5C">
        <w:t>stilles flasken til afkøling –</w:t>
      </w:r>
      <w:r w:rsidR="0067669F">
        <w:t xml:space="preserve"> </w:t>
      </w:r>
      <w:r w:rsidR="003B3DA9" w:rsidRPr="005E2F5C">
        <w:t>temperatur</w:t>
      </w:r>
      <w:r w:rsidR="0067669F">
        <w:t>en</w:t>
      </w:r>
      <w:r w:rsidR="003B3DA9" w:rsidRPr="005E2F5C">
        <w:t xml:space="preserve"> skal </w:t>
      </w:r>
      <w:r w:rsidR="0067669F">
        <w:t xml:space="preserve">falde til </w:t>
      </w:r>
      <w:r w:rsidR="003B3DA9" w:rsidRPr="005E2F5C">
        <w:t>under 55</w:t>
      </w:r>
      <w:r w:rsidRPr="005E2F5C">
        <w:rPr>
          <w:rFonts w:cs="Times New Roman"/>
        </w:rPr>
        <w:t>°C, før</w:t>
      </w:r>
      <w:r>
        <w:rPr>
          <w:rFonts w:cs="Times New Roman"/>
        </w:rPr>
        <w:t xml:space="preserve"> blandingen må hældes op i de to små Edvotek® elektroforesekar (er blandingen fo</w:t>
      </w:r>
      <w:r w:rsidR="0067669F">
        <w:rPr>
          <w:rFonts w:cs="Times New Roman"/>
        </w:rPr>
        <w:t>r varm, kan den deformere k</w:t>
      </w:r>
      <w:r>
        <w:rPr>
          <w:rFonts w:cs="Times New Roman"/>
        </w:rPr>
        <w:t>arrene).</w:t>
      </w:r>
      <w:r w:rsidR="000C2957">
        <w:rPr>
          <w:rFonts w:cs="Times New Roman"/>
        </w:rPr>
        <w:t xml:space="preserve"> Sæt de sorte gummiender på hvert elektroforesekar. Hæld den afkølede agarose forsigtigt i, så der ikke dannes luftbobler i gelen. Sæt kammen i, som skal lave huller til brøndene. Vent. I løbet af 20-30 minutter er gelerne størknet. Skal gelerne ikke anvendes med det samme, kan de pakkes ind i plastfolie (for at undgå udtørring) og stå ved laboratorietemperatur (ca. 20°C) natten over. Holdbarheden øges, hvis de stilles i en Tupperware beholder, overhældes med lidt buffer og opbevares i køleskab.</w:t>
      </w:r>
    </w:p>
    <w:p w14:paraId="53108E69" w14:textId="707FB05E" w:rsidR="003B3DA9" w:rsidRDefault="00384121" w:rsidP="00C71BEC">
      <w:pPr>
        <w:ind w:left="2608" w:hanging="2608"/>
      </w:pPr>
      <w:r>
        <w:t>Klargøring</w:t>
      </w:r>
      <w:r w:rsidR="00C71BEC">
        <w:t xml:space="preserve"> af geler:</w:t>
      </w:r>
      <w:r w:rsidR="00C71BEC">
        <w:tab/>
        <w:t xml:space="preserve">Hvis gelerne er opbevaret i ”tør” tilstand (uden buffer), bør de overhældes med lidt buffer og stå </w:t>
      </w:r>
      <w:r>
        <w:t>et par minutter</w:t>
      </w:r>
      <w:r w:rsidR="00C71BEC">
        <w:t xml:space="preserve"> for at fugte kontaktfladerne mellem gel og gummiender og mellem gel og kam. Herefter fjernes gummiender</w:t>
      </w:r>
      <w:r w:rsidR="00436914">
        <w:t>ne</w:t>
      </w:r>
      <w:r w:rsidR="00C71BEC">
        <w:t xml:space="preserve"> forsigtigt fra hver gel.</w:t>
      </w:r>
      <w:r>
        <w:t xml:space="preserve"> Hæld buffer i elektroforesekammerets ender</w:t>
      </w:r>
      <w:r w:rsidR="00F3057A">
        <w:t>,</w:t>
      </w:r>
      <w:r>
        <w:t xml:space="preserve"> indtil væsken </w:t>
      </w:r>
      <w:r w:rsidR="00D8675B">
        <w:t>fugter</w:t>
      </w:r>
      <w:r>
        <w:t xml:space="preserve"> det midterste stykke. Hæng begge geler på plads i kammeret, så brøndene er nærmest den negative pol (sort ledning, minus). Tilføj buffer</w:t>
      </w:r>
      <w:r w:rsidR="00F3057A">
        <w:t>,</w:t>
      </w:r>
      <w:r>
        <w:t xml:space="preserve"> indtil gelerne er dækket med 2-3 mm buffer.</w:t>
      </w:r>
      <w:r w:rsidR="00436914">
        <w:t xml:space="preserve"> Først nu skal kammen fjernes for at undgå, at der kommer luftlommer i brøndene, når kammen fjernes.</w:t>
      </w:r>
    </w:p>
    <w:p w14:paraId="3D3424CA" w14:textId="423CFFE6" w:rsidR="00384121" w:rsidRDefault="00384121" w:rsidP="00C71BEC">
      <w:pPr>
        <w:ind w:left="2608" w:hanging="2608"/>
      </w:pPr>
      <w:r>
        <w:t>Påsætning af prøver:</w:t>
      </w:r>
      <w:r>
        <w:tab/>
      </w:r>
      <w:r w:rsidR="002D18AA" w:rsidRPr="001F6F81">
        <w:rPr>
          <w:highlight w:val="yellow"/>
        </w:rPr>
        <w:t>Seks farvekodede og mærkede Eppendorf-rør udleveres med prøver fra gerningssted, offer og mistænkte.</w:t>
      </w:r>
      <w:r w:rsidR="002D18AA">
        <w:t xml:space="preserve"> </w:t>
      </w:r>
      <w:r>
        <w:t xml:space="preserve">Indstil og lås en mikropipette på det ønskede volumen, her 10 µL. Med rolige bevægelser åbnes Eppendorf-røret med </w:t>
      </w:r>
      <w:r w:rsidR="00F3057A">
        <w:t>prøven</w:t>
      </w:r>
      <w:r w:rsidR="00D8675B">
        <w:t>, så intet går til spilde</w:t>
      </w:r>
      <w:r w:rsidR="00F3057A">
        <w:t xml:space="preserve">. Pipetteknappen trykkes ned til første stop, spidsen sænkes under overfladen på prøven, knappen slippes forsigtigt, så noget af prøven suges op i spidsen. Er der synlige dråber udenpå spidsen, aftørres de forsigtigt med lidt papir – uden at suge prøven ud af spidsen. </w:t>
      </w:r>
      <w:r w:rsidR="00D8675B">
        <w:lastRenderedPageBreak/>
        <w:t>(</w:t>
      </w:r>
      <w:r w:rsidR="00F3057A">
        <w:t>Aftørringen er for at undgå, at prøven løber ud i bufferen, når spidsen sænkes mod gelen.</w:t>
      </w:r>
      <w:r w:rsidR="00D8675B">
        <w:t>)</w:t>
      </w:r>
      <w:r w:rsidR="00F3057A">
        <w:t xml:space="preserve"> Med albuen i bordet (øger stabiliteten) overføres det lille volumen prøve til en brønd i gelen</w:t>
      </w:r>
      <w:r w:rsidR="001F6F81">
        <w:t>:</w:t>
      </w:r>
      <w:r w:rsidR="00F3057A">
        <w:t xml:space="preserve"> Før pipettespidsen ned i brønden – uden at stikke hul i agarosegelen – og pres knappen forsigtigt ned til første stop. </w:t>
      </w:r>
      <w:r w:rsidR="001F6F81">
        <w:t>Løft</w:t>
      </w:r>
      <w:r w:rsidR="00F3057A">
        <w:t xml:space="preserve"> pipettespidsen forsigtigt op og kassér den ved at trykke på pipettens udløser. Den farvede prøve bør synke mod bunden af brønden, da prøvens massefylde er større end vands (prøven indeholder en 33% sukrose-opløsning samt noget farvestof). Med en ny pipettespids påføres den næste prøve osv.</w:t>
      </w:r>
      <w:r w:rsidR="00E6711F">
        <w:t>,</w:t>
      </w:r>
      <w:r w:rsidR="00F3057A">
        <w:t xml:space="preserve"> indtil alle</w:t>
      </w:r>
      <w:r w:rsidR="00D8675B">
        <w:t xml:space="preserve"> seks</w:t>
      </w:r>
      <w:r w:rsidR="00F3057A">
        <w:t xml:space="preserve"> prøver er på plads i brøndene. </w:t>
      </w:r>
      <w:r w:rsidR="00F3057A" w:rsidRPr="001F6F81">
        <w:rPr>
          <w:color w:val="FF0000"/>
        </w:rPr>
        <w:t>Det kan være en fordel at lade en brønd stå tom mellem to prøver, så de farvede bånd ikke løber sammen på tværs af banerne.</w:t>
      </w:r>
      <w:r w:rsidR="002D18AA" w:rsidRPr="001F6F81">
        <w:rPr>
          <w:color w:val="FF0000"/>
        </w:rPr>
        <w:t xml:space="preserve"> </w:t>
      </w:r>
      <w:r w:rsidR="002D18AA">
        <w:t>Husk at notere, hvordan prøverne er påført i gelens brønde (hvilken prøve er hvor?)</w:t>
      </w:r>
    </w:p>
    <w:p w14:paraId="147440A3" w14:textId="6472C9C8" w:rsidR="00F3057A" w:rsidRPr="005E2F5C" w:rsidRDefault="00F3057A" w:rsidP="00C71BEC">
      <w:pPr>
        <w:ind w:left="2608" w:hanging="2608"/>
      </w:pPr>
      <w:r>
        <w:t>Selve gelelektroforesen:</w:t>
      </w:r>
      <w:r>
        <w:tab/>
        <w:t xml:space="preserve">Låget sættes godt fast på elektroforesekammeret, den røde ledning forbindes med den positive pol og den sorte ledning med den negative pol på en </w:t>
      </w:r>
      <w:r w:rsidR="002D18AA">
        <w:t xml:space="preserve">DC-volt </w:t>
      </w:r>
      <w:r>
        <w:t>strømforsyning. Tænd for spændingen og sæt den på 80 V. Start uret</w:t>
      </w:r>
      <w:r w:rsidR="002D18AA">
        <w:t xml:space="preserve">. De negativt ladede prøver vil nu bevæge </w:t>
      </w:r>
      <w:r w:rsidR="00D8675B">
        <w:t xml:space="preserve">sig </w:t>
      </w:r>
      <w:r w:rsidR="002D18AA">
        <w:t>gennem gelen fra brøndene i den negative ende mod den positive ende, så længe der er et spændingsfelt. I løbet af ca. 10 minutter vil man kunne se, at prøverne begynder at splitte op i forskellige bånd – store molekyler holdes tilbage i gelen</w:t>
      </w:r>
      <w:r w:rsidR="001F6F81">
        <w:t xml:space="preserve"> (nærmest brøndene)</w:t>
      </w:r>
      <w:r w:rsidR="002D18AA">
        <w:t>, mens små molekyler lettere kan bevæge sig i gelen og vandrer længere. Efter ca. 30-35 minutter slukkes for strømmen, og elektroforesen er færdig.</w:t>
      </w:r>
    </w:p>
    <w:p w14:paraId="4AE06C3B" w14:textId="77777777" w:rsidR="003B3DA9" w:rsidRDefault="002D18AA" w:rsidP="002D18AA">
      <w:pPr>
        <w:ind w:left="2608" w:hanging="2608"/>
      </w:pPr>
      <w:r>
        <w:t>Aflæsning af resultater:</w:t>
      </w:r>
      <w:r>
        <w:tab/>
        <w:t>For hver prøve aflæses antallet af bånd, båndenes farver og afstanden, hvert bånd er vandret fra brønden (brug en lineal). Resultaterne skrives ind i tabeller i stil med Tabel 1 og 2. Husk at beskrive i hele sætninger, hvilke resultater I fik</w:t>
      </w:r>
      <w:r w:rsidR="00D8675B">
        <w:t xml:space="preserve">, </w:t>
      </w:r>
      <w:r>
        <w:t>og hvad I kan udlede om blodpølen og blodpletterne på baggrund af elektroforesen.</w:t>
      </w:r>
    </w:p>
    <w:p w14:paraId="1EA4E40F" w14:textId="77777777" w:rsidR="00D8675B" w:rsidRDefault="00D8675B" w:rsidP="002D18AA">
      <w:pPr>
        <w:ind w:left="2608" w:hanging="2608"/>
      </w:pPr>
    </w:p>
    <w:p w14:paraId="36CDD802" w14:textId="77777777" w:rsidR="00D8675B" w:rsidRDefault="00D8675B" w:rsidP="00D8675B">
      <w:pPr>
        <w:pStyle w:val="Overskrift1"/>
      </w:pPr>
      <w:r>
        <w:t>Resultater:</w:t>
      </w:r>
    </w:p>
    <w:p w14:paraId="11E4A649" w14:textId="77777777" w:rsidR="00D8675B" w:rsidRPr="00D8675B" w:rsidRDefault="00D8675B" w:rsidP="00D8675B"/>
    <w:p w14:paraId="0BCC0508" w14:textId="77777777" w:rsidR="00D8675B" w:rsidRDefault="00D8675B" w:rsidP="00D8675B">
      <w:pPr>
        <w:pStyle w:val="Billedtekst"/>
        <w:keepNext/>
      </w:pPr>
      <w:r>
        <w:t xml:space="preserve">Tabel </w:t>
      </w:r>
      <w:r>
        <w:fldChar w:fldCharType="begin"/>
      </w:r>
      <w:r>
        <w:instrText xml:space="preserve"> SEQ Tabel \* ARABIC </w:instrText>
      </w:r>
      <w:r>
        <w:fldChar w:fldCharType="separate"/>
      </w:r>
      <w:r>
        <w:rPr>
          <w:noProof/>
        </w:rPr>
        <w:t>1</w:t>
      </w:r>
      <w:r>
        <w:rPr>
          <w:noProof/>
        </w:rPr>
        <w:fldChar w:fldCharType="end"/>
      </w:r>
      <w:r>
        <w:t>. Gel 1.</w:t>
      </w:r>
    </w:p>
    <w:tbl>
      <w:tblPr>
        <w:tblStyle w:val="Tabel-Gitter"/>
        <w:tblW w:w="5000" w:type="pct"/>
        <w:tblLook w:val="04A0" w:firstRow="1" w:lastRow="0" w:firstColumn="1" w:lastColumn="0" w:noHBand="0" w:noVBand="1"/>
      </w:tblPr>
      <w:tblGrid>
        <w:gridCol w:w="2547"/>
        <w:gridCol w:w="1304"/>
        <w:gridCol w:w="1926"/>
        <w:gridCol w:w="2016"/>
        <w:gridCol w:w="1835"/>
      </w:tblGrid>
      <w:tr w:rsidR="00D8675B" w14:paraId="136E8162" w14:textId="77777777" w:rsidTr="006B5E26">
        <w:tc>
          <w:tcPr>
            <w:tcW w:w="1323" w:type="pct"/>
            <w:shd w:val="clear" w:color="auto" w:fill="BFBFBF" w:themeFill="background1" w:themeFillShade="BF"/>
          </w:tcPr>
          <w:p w14:paraId="2CE9B476" w14:textId="77777777" w:rsidR="00D8675B" w:rsidRPr="00CA7FCC" w:rsidRDefault="00D8675B" w:rsidP="006B5E26">
            <w:pPr>
              <w:rPr>
                <w:b/>
              </w:rPr>
            </w:pPr>
            <w:r w:rsidRPr="00CA7FCC">
              <w:rPr>
                <w:b/>
              </w:rPr>
              <w:t>Prøve</w:t>
            </w:r>
          </w:p>
        </w:tc>
        <w:tc>
          <w:tcPr>
            <w:tcW w:w="677" w:type="pct"/>
            <w:shd w:val="clear" w:color="auto" w:fill="BFBFBF" w:themeFill="background1" w:themeFillShade="BF"/>
          </w:tcPr>
          <w:p w14:paraId="1CBCE152" w14:textId="77777777" w:rsidR="00D8675B" w:rsidRPr="00CA7FCC" w:rsidRDefault="00D8675B" w:rsidP="006B5E26">
            <w:pPr>
              <w:rPr>
                <w:b/>
              </w:rPr>
            </w:pPr>
            <w:r>
              <w:rPr>
                <w:b/>
              </w:rPr>
              <w:t>Antal bånd</w:t>
            </w:r>
          </w:p>
        </w:tc>
        <w:tc>
          <w:tcPr>
            <w:tcW w:w="1000" w:type="pct"/>
            <w:shd w:val="clear" w:color="auto" w:fill="BFBFBF" w:themeFill="background1" w:themeFillShade="BF"/>
          </w:tcPr>
          <w:p w14:paraId="151CC116" w14:textId="77777777" w:rsidR="00D8675B" w:rsidRPr="00CA7FCC" w:rsidRDefault="00D8675B" w:rsidP="006B5E26">
            <w:pPr>
              <w:rPr>
                <w:b/>
              </w:rPr>
            </w:pPr>
            <w:r w:rsidRPr="00CA7FCC">
              <w:rPr>
                <w:b/>
              </w:rPr>
              <w:t>Båndfarver</w:t>
            </w:r>
          </w:p>
        </w:tc>
        <w:tc>
          <w:tcPr>
            <w:tcW w:w="1047" w:type="pct"/>
            <w:shd w:val="clear" w:color="auto" w:fill="BFBFBF" w:themeFill="background1" w:themeFillShade="BF"/>
          </w:tcPr>
          <w:p w14:paraId="0B28289C" w14:textId="77777777" w:rsidR="00D8675B" w:rsidRPr="00CA7FCC" w:rsidRDefault="00D8675B" w:rsidP="006B5E26">
            <w:pPr>
              <w:rPr>
                <w:b/>
              </w:rPr>
            </w:pPr>
            <w:r w:rsidRPr="00CA7FCC">
              <w:rPr>
                <w:b/>
              </w:rPr>
              <w:t>Båndvandring (cm)</w:t>
            </w:r>
          </w:p>
        </w:tc>
        <w:tc>
          <w:tcPr>
            <w:tcW w:w="953" w:type="pct"/>
            <w:shd w:val="clear" w:color="auto" w:fill="BFBFBF" w:themeFill="background1" w:themeFillShade="BF"/>
          </w:tcPr>
          <w:p w14:paraId="1EAAA451" w14:textId="77777777" w:rsidR="00D8675B" w:rsidRPr="00CA7FCC" w:rsidRDefault="00D8675B" w:rsidP="006B5E26">
            <w:pPr>
              <w:rPr>
                <w:b/>
              </w:rPr>
            </w:pPr>
            <w:r w:rsidRPr="00CA7FCC">
              <w:rPr>
                <w:b/>
              </w:rPr>
              <w:t>Match</w:t>
            </w:r>
          </w:p>
        </w:tc>
      </w:tr>
      <w:tr w:rsidR="00D8675B" w14:paraId="22CB5725" w14:textId="77777777" w:rsidTr="006B5E26">
        <w:tc>
          <w:tcPr>
            <w:tcW w:w="1323" w:type="pct"/>
          </w:tcPr>
          <w:p w14:paraId="11664ACC" w14:textId="77777777" w:rsidR="00D8675B" w:rsidRPr="00CA7FCC" w:rsidRDefault="00D8675B" w:rsidP="006B5E26">
            <w:pPr>
              <w:rPr>
                <w:b/>
                <w:color w:val="FF0000"/>
              </w:rPr>
            </w:pPr>
            <w:r w:rsidRPr="00CA7FCC">
              <w:rPr>
                <w:b/>
                <w:color w:val="FF0000"/>
              </w:rPr>
              <w:t>BG (blodpøl på gulvet)</w:t>
            </w:r>
          </w:p>
        </w:tc>
        <w:tc>
          <w:tcPr>
            <w:tcW w:w="677" w:type="pct"/>
          </w:tcPr>
          <w:p w14:paraId="1C501E72" w14:textId="77777777" w:rsidR="00D8675B" w:rsidRPr="00CA7FCC" w:rsidRDefault="00D8675B" w:rsidP="006B5E26">
            <w:pPr>
              <w:rPr>
                <w:color w:val="FF0000"/>
              </w:rPr>
            </w:pPr>
          </w:p>
        </w:tc>
        <w:tc>
          <w:tcPr>
            <w:tcW w:w="1000" w:type="pct"/>
          </w:tcPr>
          <w:p w14:paraId="48ACC6F1" w14:textId="77777777" w:rsidR="00D8675B" w:rsidRDefault="00D8675B" w:rsidP="006B5E26"/>
        </w:tc>
        <w:tc>
          <w:tcPr>
            <w:tcW w:w="1047" w:type="pct"/>
          </w:tcPr>
          <w:p w14:paraId="2758E8FD" w14:textId="77777777" w:rsidR="00D8675B" w:rsidRDefault="00D8675B" w:rsidP="006B5E26"/>
        </w:tc>
        <w:tc>
          <w:tcPr>
            <w:tcW w:w="953" w:type="pct"/>
          </w:tcPr>
          <w:p w14:paraId="18EEF8CC" w14:textId="77777777" w:rsidR="00D8675B" w:rsidRDefault="00D8675B" w:rsidP="006B5E26"/>
        </w:tc>
      </w:tr>
      <w:tr w:rsidR="00D8675B" w14:paraId="20B57AE6" w14:textId="77777777" w:rsidTr="006B5E26">
        <w:tc>
          <w:tcPr>
            <w:tcW w:w="1323" w:type="pct"/>
          </w:tcPr>
          <w:p w14:paraId="6DDAE049" w14:textId="4C3E7FBB" w:rsidR="00D8675B" w:rsidRDefault="00E6711F" w:rsidP="006B5E26">
            <w:r>
              <w:t>Den myrdede JH</w:t>
            </w:r>
          </w:p>
        </w:tc>
        <w:tc>
          <w:tcPr>
            <w:tcW w:w="677" w:type="pct"/>
          </w:tcPr>
          <w:p w14:paraId="00DB330E" w14:textId="77777777" w:rsidR="00D8675B" w:rsidRDefault="00D8675B" w:rsidP="006B5E26"/>
        </w:tc>
        <w:tc>
          <w:tcPr>
            <w:tcW w:w="1000" w:type="pct"/>
          </w:tcPr>
          <w:p w14:paraId="74424E2A" w14:textId="77777777" w:rsidR="00D8675B" w:rsidRDefault="00D8675B" w:rsidP="006B5E26"/>
        </w:tc>
        <w:tc>
          <w:tcPr>
            <w:tcW w:w="1047" w:type="pct"/>
          </w:tcPr>
          <w:p w14:paraId="2EBD964C" w14:textId="77777777" w:rsidR="00D8675B" w:rsidRDefault="00D8675B" w:rsidP="006B5E26"/>
        </w:tc>
        <w:tc>
          <w:tcPr>
            <w:tcW w:w="953" w:type="pct"/>
          </w:tcPr>
          <w:p w14:paraId="3A3BBC59" w14:textId="77777777" w:rsidR="00D8675B" w:rsidRDefault="00D8675B" w:rsidP="006B5E26"/>
        </w:tc>
      </w:tr>
      <w:tr w:rsidR="00D8675B" w14:paraId="38F0E5A9" w14:textId="77777777" w:rsidTr="006B5E26">
        <w:tc>
          <w:tcPr>
            <w:tcW w:w="1323" w:type="pct"/>
          </w:tcPr>
          <w:p w14:paraId="6D3897DA" w14:textId="346A9648" w:rsidR="00D8675B" w:rsidRDefault="00E6711F" w:rsidP="006B5E26">
            <w:r>
              <w:t xml:space="preserve">Læreren </w:t>
            </w:r>
            <w:r w:rsidR="00D8675B">
              <w:t>MN</w:t>
            </w:r>
          </w:p>
        </w:tc>
        <w:tc>
          <w:tcPr>
            <w:tcW w:w="677" w:type="pct"/>
          </w:tcPr>
          <w:p w14:paraId="2F267F48" w14:textId="77777777" w:rsidR="00D8675B" w:rsidRDefault="00D8675B" w:rsidP="006B5E26"/>
        </w:tc>
        <w:tc>
          <w:tcPr>
            <w:tcW w:w="1000" w:type="pct"/>
          </w:tcPr>
          <w:p w14:paraId="72EDB502" w14:textId="77777777" w:rsidR="00D8675B" w:rsidRDefault="00D8675B" w:rsidP="006B5E26"/>
        </w:tc>
        <w:tc>
          <w:tcPr>
            <w:tcW w:w="1047" w:type="pct"/>
          </w:tcPr>
          <w:p w14:paraId="24461559" w14:textId="77777777" w:rsidR="00D8675B" w:rsidRDefault="00D8675B" w:rsidP="006B5E26"/>
        </w:tc>
        <w:tc>
          <w:tcPr>
            <w:tcW w:w="953" w:type="pct"/>
          </w:tcPr>
          <w:p w14:paraId="2FADC87B" w14:textId="77777777" w:rsidR="00D8675B" w:rsidRDefault="00D8675B" w:rsidP="006B5E26"/>
        </w:tc>
      </w:tr>
    </w:tbl>
    <w:p w14:paraId="0CA7491B" w14:textId="77777777" w:rsidR="00D8675B" w:rsidRDefault="00D8675B" w:rsidP="00D8675B"/>
    <w:p w14:paraId="08AC59F1" w14:textId="77777777" w:rsidR="00D8675B" w:rsidRDefault="00D8675B" w:rsidP="00D8675B">
      <w:pPr>
        <w:pStyle w:val="Billedtekst"/>
        <w:keepNext/>
      </w:pPr>
      <w:r>
        <w:t xml:space="preserve">Tabel </w:t>
      </w:r>
      <w:r>
        <w:fldChar w:fldCharType="begin"/>
      </w:r>
      <w:r>
        <w:instrText xml:space="preserve"> SEQ Tabel \* ARABIC </w:instrText>
      </w:r>
      <w:r>
        <w:fldChar w:fldCharType="separate"/>
      </w:r>
      <w:r>
        <w:rPr>
          <w:noProof/>
        </w:rPr>
        <w:t>2</w:t>
      </w:r>
      <w:r>
        <w:rPr>
          <w:noProof/>
        </w:rPr>
        <w:fldChar w:fldCharType="end"/>
      </w:r>
      <w:r>
        <w:t>. Gel 2.</w:t>
      </w:r>
    </w:p>
    <w:tbl>
      <w:tblPr>
        <w:tblStyle w:val="Tabel-Gitter"/>
        <w:tblW w:w="5000" w:type="pct"/>
        <w:tblLook w:val="04A0" w:firstRow="1" w:lastRow="0" w:firstColumn="1" w:lastColumn="0" w:noHBand="0" w:noVBand="1"/>
      </w:tblPr>
      <w:tblGrid>
        <w:gridCol w:w="2547"/>
        <w:gridCol w:w="1304"/>
        <w:gridCol w:w="1926"/>
        <w:gridCol w:w="2016"/>
        <w:gridCol w:w="1835"/>
      </w:tblGrid>
      <w:tr w:rsidR="00D8675B" w14:paraId="147AF004" w14:textId="77777777" w:rsidTr="006B5E26">
        <w:tc>
          <w:tcPr>
            <w:tcW w:w="1323" w:type="pct"/>
            <w:shd w:val="clear" w:color="auto" w:fill="BFBFBF" w:themeFill="background1" w:themeFillShade="BF"/>
          </w:tcPr>
          <w:p w14:paraId="570330D1" w14:textId="77777777" w:rsidR="00D8675B" w:rsidRPr="00CA7FCC" w:rsidRDefault="00D8675B" w:rsidP="006B5E26">
            <w:pPr>
              <w:rPr>
                <w:b/>
              </w:rPr>
            </w:pPr>
            <w:r w:rsidRPr="00CA7FCC">
              <w:rPr>
                <w:b/>
              </w:rPr>
              <w:t>Prøve</w:t>
            </w:r>
          </w:p>
        </w:tc>
        <w:tc>
          <w:tcPr>
            <w:tcW w:w="677" w:type="pct"/>
            <w:shd w:val="clear" w:color="auto" w:fill="BFBFBF" w:themeFill="background1" w:themeFillShade="BF"/>
          </w:tcPr>
          <w:p w14:paraId="30749998" w14:textId="77777777" w:rsidR="00D8675B" w:rsidRPr="00CA7FCC" w:rsidRDefault="00D8675B" w:rsidP="006B5E26">
            <w:pPr>
              <w:rPr>
                <w:b/>
              </w:rPr>
            </w:pPr>
            <w:r>
              <w:rPr>
                <w:b/>
              </w:rPr>
              <w:t>Antal bånd</w:t>
            </w:r>
          </w:p>
        </w:tc>
        <w:tc>
          <w:tcPr>
            <w:tcW w:w="1000" w:type="pct"/>
            <w:shd w:val="clear" w:color="auto" w:fill="BFBFBF" w:themeFill="background1" w:themeFillShade="BF"/>
          </w:tcPr>
          <w:p w14:paraId="043523A1" w14:textId="77777777" w:rsidR="00D8675B" w:rsidRPr="00CA7FCC" w:rsidRDefault="00D8675B" w:rsidP="006B5E26">
            <w:pPr>
              <w:rPr>
                <w:b/>
              </w:rPr>
            </w:pPr>
            <w:r w:rsidRPr="00CA7FCC">
              <w:rPr>
                <w:b/>
              </w:rPr>
              <w:t>Båndfarver</w:t>
            </w:r>
          </w:p>
        </w:tc>
        <w:tc>
          <w:tcPr>
            <w:tcW w:w="1047" w:type="pct"/>
            <w:shd w:val="clear" w:color="auto" w:fill="BFBFBF" w:themeFill="background1" w:themeFillShade="BF"/>
          </w:tcPr>
          <w:p w14:paraId="05A48EF0" w14:textId="77777777" w:rsidR="00D8675B" w:rsidRPr="00CA7FCC" w:rsidRDefault="00D8675B" w:rsidP="006B5E26">
            <w:pPr>
              <w:rPr>
                <w:b/>
              </w:rPr>
            </w:pPr>
            <w:r w:rsidRPr="00CA7FCC">
              <w:rPr>
                <w:b/>
              </w:rPr>
              <w:t>Båndvandring (cm)</w:t>
            </w:r>
          </w:p>
        </w:tc>
        <w:tc>
          <w:tcPr>
            <w:tcW w:w="953" w:type="pct"/>
            <w:shd w:val="clear" w:color="auto" w:fill="BFBFBF" w:themeFill="background1" w:themeFillShade="BF"/>
          </w:tcPr>
          <w:p w14:paraId="150C508D" w14:textId="77777777" w:rsidR="00D8675B" w:rsidRPr="00CA7FCC" w:rsidRDefault="00D8675B" w:rsidP="006B5E26">
            <w:pPr>
              <w:rPr>
                <w:b/>
              </w:rPr>
            </w:pPr>
            <w:r w:rsidRPr="00CA7FCC">
              <w:rPr>
                <w:b/>
              </w:rPr>
              <w:t>Match</w:t>
            </w:r>
          </w:p>
        </w:tc>
      </w:tr>
      <w:tr w:rsidR="00D8675B" w14:paraId="13E12521" w14:textId="77777777" w:rsidTr="006B5E26">
        <w:tc>
          <w:tcPr>
            <w:tcW w:w="1323" w:type="pct"/>
          </w:tcPr>
          <w:p w14:paraId="4B56852C" w14:textId="77777777" w:rsidR="00D8675B" w:rsidRPr="00CA7FCC" w:rsidRDefault="00D8675B" w:rsidP="006B5E26">
            <w:pPr>
              <w:rPr>
                <w:b/>
              </w:rPr>
            </w:pPr>
            <w:r w:rsidRPr="00CA7FCC">
              <w:rPr>
                <w:b/>
                <w:color w:val="FF0000"/>
              </w:rPr>
              <w:t>BP (blodplet på bordet)</w:t>
            </w:r>
          </w:p>
        </w:tc>
        <w:tc>
          <w:tcPr>
            <w:tcW w:w="677" w:type="pct"/>
          </w:tcPr>
          <w:p w14:paraId="513FB9E8" w14:textId="77777777" w:rsidR="00D8675B" w:rsidRDefault="00D8675B" w:rsidP="006B5E26"/>
        </w:tc>
        <w:tc>
          <w:tcPr>
            <w:tcW w:w="1000" w:type="pct"/>
          </w:tcPr>
          <w:p w14:paraId="14CBD9B8" w14:textId="77777777" w:rsidR="00D8675B" w:rsidRDefault="00D8675B" w:rsidP="006B5E26"/>
        </w:tc>
        <w:tc>
          <w:tcPr>
            <w:tcW w:w="1047" w:type="pct"/>
          </w:tcPr>
          <w:p w14:paraId="6B6C128D" w14:textId="77777777" w:rsidR="00D8675B" w:rsidRDefault="00D8675B" w:rsidP="006B5E26"/>
        </w:tc>
        <w:tc>
          <w:tcPr>
            <w:tcW w:w="953" w:type="pct"/>
          </w:tcPr>
          <w:p w14:paraId="2C109998" w14:textId="77777777" w:rsidR="00D8675B" w:rsidRDefault="00D8675B" w:rsidP="006B5E26"/>
        </w:tc>
      </w:tr>
      <w:tr w:rsidR="00D8675B" w14:paraId="56C3B095" w14:textId="77777777" w:rsidTr="006B5E26">
        <w:tc>
          <w:tcPr>
            <w:tcW w:w="1323" w:type="pct"/>
          </w:tcPr>
          <w:p w14:paraId="3F5A0C59" w14:textId="739C848F" w:rsidR="00D8675B" w:rsidRDefault="00E6711F" w:rsidP="006B5E26">
            <w:r>
              <w:t xml:space="preserve">Læreren </w:t>
            </w:r>
            <w:r w:rsidR="00D8675B">
              <w:t>ML</w:t>
            </w:r>
          </w:p>
        </w:tc>
        <w:tc>
          <w:tcPr>
            <w:tcW w:w="677" w:type="pct"/>
          </w:tcPr>
          <w:p w14:paraId="7C98965C" w14:textId="77777777" w:rsidR="00D8675B" w:rsidRDefault="00D8675B" w:rsidP="006B5E26"/>
        </w:tc>
        <w:tc>
          <w:tcPr>
            <w:tcW w:w="1000" w:type="pct"/>
          </w:tcPr>
          <w:p w14:paraId="04CD3412" w14:textId="77777777" w:rsidR="00D8675B" w:rsidRDefault="00D8675B" w:rsidP="006B5E26"/>
        </w:tc>
        <w:tc>
          <w:tcPr>
            <w:tcW w:w="1047" w:type="pct"/>
          </w:tcPr>
          <w:p w14:paraId="4F5358B3" w14:textId="77777777" w:rsidR="00D8675B" w:rsidRDefault="00D8675B" w:rsidP="006B5E26"/>
        </w:tc>
        <w:tc>
          <w:tcPr>
            <w:tcW w:w="953" w:type="pct"/>
          </w:tcPr>
          <w:p w14:paraId="4B7EB3C7" w14:textId="77777777" w:rsidR="00D8675B" w:rsidRDefault="00D8675B" w:rsidP="006B5E26"/>
        </w:tc>
      </w:tr>
      <w:tr w:rsidR="00D8675B" w14:paraId="7663A150" w14:textId="77777777" w:rsidTr="006B5E26">
        <w:tc>
          <w:tcPr>
            <w:tcW w:w="1323" w:type="pct"/>
          </w:tcPr>
          <w:p w14:paraId="2C5A356C" w14:textId="1EAB34FA" w:rsidR="00D8675B" w:rsidRDefault="00E6711F" w:rsidP="006B5E26">
            <w:r>
              <w:t xml:space="preserve">Eleven </w:t>
            </w:r>
            <w:r w:rsidR="00D8675B">
              <w:t>To</w:t>
            </w:r>
          </w:p>
        </w:tc>
        <w:tc>
          <w:tcPr>
            <w:tcW w:w="677" w:type="pct"/>
          </w:tcPr>
          <w:p w14:paraId="1BC03C4A" w14:textId="77777777" w:rsidR="00D8675B" w:rsidRDefault="00D8675B" w:rsidP="006B5E26"/>
        </w:tc>
        <w:tc>
          <w:tcPr>
            <w:tcW w:w="1000" w:type="pct"/>
          </w:tcPr>
          <w:p w14:paraId="38D5A45F" w14:textId="77777777" w:rsidR="00D8675B" w:rsidRDefault="00D8675B" w:rsidP="006B5E26"/>
        </w:tc>
        <w:tc>
          <w:tcPr>
            <w:tcW w:w="1047" w:type="pct"/>
          </w:tcPr>
          <w:p w14:paraId="770FA0E8" w14:textId="77777777" w:rsidR="00D8675B" w:rsidRDefault="00D8675B" w:rsidP="006B5E26"/>
        </w:tc>
        <w:tc>
          <w:tcPr>
            <w:tcW w:w="953" w:type="pct"/>
          </w:tcPr>
          <w:p w14:paraId="2D9CE0AA" w14:textId="77777777" w:rsidR="00D8675B" w:rsidRDefault="00D8675B" w:rsidP="006B5E26"/>
        </w:tc>
      </w:tr>
    </w:tbl>
    <w:p w14:paraId="673065CF" w14:textId="77777777" w:rsidR="00D8675B" w:rsidRDefault="00D8675B" w:rsidP="00D8675B"/>
    <w:sectPr w:rsidR="00D8675B">
      <w:foot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BBA77" w14:textId="77777777" w:rsidR="008E557E" w:rsidRDefault="008E557E" w:rsidP="00D8675B">
      <w:pPr>
        <w:spacing w:after="0" w:line="240" w:lineRule="auto"/>
      </w:pPr>
      <w:r>
        <w:separator/>
      </w:r>
    </w:p>
  </w:endnote>
  <w:endnote w:type="continuationSeparator" w:id="0">
    <w:p w14:paraId="7EA5093E" w14:textId="77777777" w:rsidR="008E557E" w:rsidRDefault="008E557E" w:rsidP="00D86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5461663"/>
      <w:docPartObj>
        <w:docPartGallery w:val="Page Numbers (Bottom of Page)"/>
        <w:docPartUnique/>
      </w:docPartObj>
    </w:sdtPr>
    <w:sdtContent>
      <w:p w14:paraId="260985DF" w14:textId="77777777" w:rsidR="00D8675B" w:rsidRDefault="00D8675B">
        <w:pPr>
          <w:pStyle w:val="Sidefod"/>
          <w:jc w:val="center"/>
        </w:pPr>
        <w:r>
          <w:fldChar w:fldCharType="begin"/>
        </w:r>
        <w:r>
          <w:instrText>PAGE   \* MERGEFORMAT</w:instrText>
        </w:r>
        <w:r>
          <w:fldChar w:fldCharType="separate"/>
        </w:r>
        <w:r w:rsidR="00DB275A">
          <w:rPr>
            <w:noProof/>
          </w:rPr>
          <w:t>1</w:t>
        </w:r>
        <w:r>
          <w:fldChar w:fldCharType="end"/>
        </w:r>
      </w:p>
    </w:sdtContent>
  </w:sdt>
  <w:p w14:paraId="566192DA" w14:textId="77777777" w:rsidR="00D8675B" w:rsidRDefault="00D8675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43B87" w14:textId="77777777" w:rsidR="008E557E" w:rsidRDefault="008E557E" w:rsidP="00D8675B">
      <w:pPr>
        <w:spacing w:after="0" w:line="240" w:lineRule="auto"/>
      </w:pPr>
      <w:r>
        <w:separator/>
      </w:r>
    </w:p>
  </w:footnote>
  <w:footnote w:type="continuationSeparator" w:id="0">
    <w:p w14:paraId="2B4D9CB4" w14:textId="77777777" w:rsidR="008E557E" w:rsidRDefault="008E557E" w:rsidP="00D867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FCC"/>
    <w:rsid w:val="000C2957"/>
    <w:rsid w:val="00154BEE"/>
    <w:rsid w:val="001F6F81"/>
    <w:rsid w:val="002D18AA"/>
    <w:rsid w:val="00347F14"/>
    <w:rsid w:val="00384121"/>
    <w:rsid w:val="003B3DA9"/>
    <w:rsid w:val="00436914"/>
    <w:rsid w:val="00462132"/>
    <w:rsid w:val="00467265"/>
    <w:rsid w:val="005E2F5C"/>
    <w:rsid w:val="0067669F"/>
    <w:rsid w:val="006902E3"/>
    <w:rsid w:val="00702F1B"/>
    <w:rsid w:val="008D394C"/>
    <w:rsid w:val="008E557E"/>
    <w:rsid w:val="00A46D01"/>
    <w:rsid w:val="00AA76F1"/>
    <w:rsid w:val="00AB49A6"/>
    <w:rsid w:val="00C35F00"/>
    <w:rsid w:val="00C63538"/>
    <w:rsid w:val="00C66C93"/>
    <w:rsid w:val="00C713BE"/>
    <w:rsid w:val="00C71BEC"/>
    <w:rsid w:val="00CA7FCC"/>
    <w:rsid w:val="00D12D88"/>
    <w:rsid w:val="00D61074"/>
    <w:rsid w:val="00D8675B"/>
    <w:rsid w:val="00DB275A"/>
    <w:rsid w:val="00E149C4"/>
    <w:rsid w:val="00E6711F"/>
    <w:rsid w:val="00ED49A3"/>
    <w:rsid w:val="00F3057A"/>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B94C8"/>
  <w15:chartTrackingRefBased/>
  <w15:docId w15:val="{BABF6778-653C-4A9B-87D3-20943BF11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8675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CA7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lledtekst">
    <w:name w:val="caption"/>
    <w:basedOn w:val="Normal"/>
    <w:next w:val="Normal"/>
    <w:uiPriority w:val="35"/>
    <w:unhideWhenUsed/>
    <w:qFormat/>
    <w:rsid w:val="00CA7FCC"/>
    <w:pPr>
      <w:spacing w:after="200" w:line="240" w:lineRule="auto"/>
    </w:pPr>
    <w:rPr>
      <w:i/>
      <w:iCs/>
      <w:color w:val="44546A" w:themeColor="text2"/>
      <w:sz w:val="18"/>
      <w:szCs w:val="18"/>
    </w:rPr>
  </w:style>
  <w:style w:type="character" w:customStyle="1" w:styleId="Overskrift1Tegn">
    <w:name w:val="Overskrift 1 Tegn"/>
    <w:basedOn w:val="Standardskrifttypeiafsnit"/>
    <w:link w:val="Overskrift1"/>
    <w:uiPriority w:val="9"/>
    <w:rsid w:val="00D8675B"/>
    <w:rPr>
      <w:rFonts w:asciiTheme="majorHAnsi" w:eastAsiaTheme="majorEastAsia" w:hAnsiTheme="majorHAnsi" w:cstheme="majorBidi"/>
      <w:color w:val="2E74B5" w:themeColor="accent1" w:themeShade="BF"/>
      <w:sz w:val="32"/>
      <w:szCs w:val="32"/>
    </w:rPr>
  </w:style>
  <w:style w:type="paragraph" w:styleId="Sidehoved">
    <w:name w:val="header"/>
    <w:basedOn w:val="Normal"/>
    <w:link w:val="SidehovedTegn"/>
    <w:uiPriority w:val="99"/>
    <w:unhideWhenUsed/>
    <w:rsid w:val="00D8675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8675B"/>
  </w:style>
  <w:style w:type="paragraph" w:styleId="Sidefod">
    <w:name w:val="footer"/>
    <w:basedOn w:val="Normal"/>
    <w:link w:val="SidefodTegn"/>
    <w:uiPriority w:val="99"/>
    <w:unhideWhenUsed/>
    <w:rsid w:val="00D8675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867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FC455-0DD0-470F-ACB0-AD2A85906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722</Words>
  <Characters>4408</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IT-Center Fyn</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Skov</dc:creator>
  <cp:keywords/>
  <dc:description/>
  <cp:lastModifiedBy>Charlotte Skov</cp:lastModifiedBy>
  <cp:revision>3</cp:revision>
  <dcterms:created xsi:type="dcterms:W3CDTF">2026-03-24T20:49:00Z</dcterms:created>
  <dcterms:modified xsi:type="dcterms:W3CDTF">2026-03-25T06:01:00Z</dcterms:modified>
</cp:coreProperties>
</file>