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31BA3" w14:textId="0C8B48A2" w:rsidR="009B431F" w:rsidRPr="009B431F" w:rsidRDefault="009B431F" w:rsidP="009B431F">
      <w:pPr>
        <w:rPr>
          <w:sz w:val="40"/>
          <w:szCs w:val="40"/>
          <w:u w:val="single"/>
        </w:rPr>
      </w:pPr>
      <w:r>
        <w:rPr>
          <w:sz w:val="40"/>
          <w:szCs w:val="40"/>
          <w:u w:val="single"/>
        </w:rPr>
        <w:t xml:space="preserve">Metode: validitet og reliabilitet </w:t>
      </w:r>
    </w:p>
    <w:p w14:paraId="390EFB53" w14:textId="77777777" w:rsidR="009B431F" w:rsidRDefault="009B431F" w:rsidP="009B431F">
      <w:pPr>
        <w:rPr>
          <w:u w:val="single"/>
        </w:rPr>
      </w:pPr>
    </w:p>
    <w:p w14:paraId="7A8AF119" w14:textId="4E566EBE" w:rsidR="009B431F" w:rsidRDefault="009B431F" w:rsidP="009B431F">
      <w:pPr>
        <w:rPr>
          <w:u w:val="single"/>
        </w:rPr>
      </w:pPr>
      <w:r w:rsidRPr="0074471E">
        <w:rPr>
          <w:u w:val="single"/>
        </w:rPr>
        <w:t>Validitet</w:t>
      </w:r>
      <w:r>
        <w:rPr>
          <w:u w:val="single"/>
        </w:rPr>
        <w:t xml:space="preserve"> </w:t>
      </w:r>
    </w:p>
    <w:p w14:paraId="3F50331C" w14:textId="77777777" w:rsidR="009B431F" w:rsidRDefault="009B431F" w:rsidP="009B431F">
      <w:pPr>
        <w:rPr>
          <w:u w:val="single"/>
        </w:rPr>
      </w:pPr>
    </w:p>
    <w:p w14:paraId="02C589B9" w14:textId="77777777" w:rsidR="009B431F" w:rsidRDefault="009B431F" w:rsidP="009B431F">
      <w:r w:rsidRPr="0074471E">
        <w:rPr>
          <w:b/>
          <w:bCs/>
        </w:rPr>
        <w:t>Intern validitet</w:t>
      </w:r>
      <w:r>
        <w:t>: graden af kontrol over variablerne (påvirkning og effekt – styring af miljøet)</w:t>
      </w:r>
    </w:p>
    <w:p w14:paraId="6F413BCC" w14:textId="77777777" w:rsidR="009B431F" w:rsidRDefault="009B431F" w:rsidP="009B431F"/>
    <w:p w14:paraId="349FE6CA" w14:textId="77777777" w:rsidR="009B431F" w:rsidRDefault="009B431F" w:rsidP="009B431F">
      <w:r w:rsidRPr="0074471E">
        <w:rPr>
          <w:b/>
          <w:bCs/>
        </w:rPr>
        <w:t>Økologisk validitet</w:t>
      </w:r>
      <w:r>
        <w:t>: Den eksperimentelle situations grad af naturlighed, er situation virkelighedsnær (ikke kunstig) og dermed tæt på den virkelighed som ønskes undersøgt</w:t>
      </w:r>
    </w:p>
    <w:p w14:paraId="7565B084" w14:textId="77777777" w:rsidR="009B431F" w:rsidRDefault="009B431F" w:rsidP="009B431F"/>
    <w:p w14:paraId="5931AFB0" w14:textId="77777777" w:rsidR="009B431F" w:rsidRPr="0074471E" w:rsidRDefault="009B431F" w:rsidP="009B431F">
      <w:r w:rsidRPr="0074471E">
        <w:rPr>
          <w:b/>
          <w:bCs/>
        </w:rPr>
        <w:t>Ekstern validitet</w:t>
      </w:r>
      <w:r>
        <w:t>: I hvilket omfang har eksperimentet/undersøgelsen relevans for situationer ude i ”verden”, eksternt uden for det selv (er det udført på ”normale mennesker” og er situationen en som minder om noget der finder sted mange steder i verden/i menneskers virkelige liv</w:t>
      </w:r>
    </w:p>
    <w:p w14:paraId="622DD6F7" w14:textId="77777777" w:rsidR="009B431F" w:rsidRDefault="009B431F" w:rsidP="009B431F"/>
    <w:p w14:paraId="139CAE61" w14:textId="77777777" w:rsidR="009B431F" w:rsidRDefault="009B431F" w:rsidP="009B431F"/>
    <w:tbl>
      <w:tblPr>
        <w:tblStyle w:val="Tabel-Gitter"/>
        <w:tblW w:w="0" w:type="auto"/>
        <w:tblLook w:val="04A0" w:firstRow="1" w:lastRow="0" w:firstColumn="1" w:lastColumn="0" w:noHBand="0" w:noVBand="1"/>
      </w:tblPr>
      <w:tblGrid>
        <w:gridCol w:w="3207"/>
        <w:gridCol w:w="3207"/>
        <w:gridCol w:w="3208"/>
      </w:tblGrid>
      <w:tr w:rsidR="009B431F" w14:paraId="10BA3884" w14:textId="77777777" w:rsidTr="003B4596">
        <w:tc>
          <w:tcPr>
            <w:tcW w:w="3207" w:type="dxa"/>
          </w:tcPr>
          <w:p w14:paraId="7CDA813F" w14:textId="77777777" w:rsidR="009B431F" w:rsidRDefault="009B431F" w:rsidP="003B4596">
            <w:r>
              <w:t>Laboratorie-eksperiment</w:t>
            </w:r>
          </w:p>
        </w:tc>
        <w:tc>
          <w:tcPr>
            <w:tcW w:w="3207" w:type="dxa"/>
          </w:tcPr>
          <w:p w14:paraId="659D4F10" w14:textId="77777777" w:rsidR="009B431F" w:rsidRDefault="009B431F" w:rsidP="003B4596">
            <w:r>
              <w:t>Felt-eksperiment</w:t>
            </w:r>
          </w:p>
        </w:tc>
        <w:tc>
          <w:tcPr>
            <w:tcW w:w="3208" w:type="dxa"/>
          </w:tcPr>
          <w:p w14:paraId="5EEEF858" w14:textId="77777777" w:rsidR="009B431F" w:rsidRDefault="009B431F" w:rsidP="003B4596">
            <w:r>
              <w:t>Naturligt eksperiment</w:t>
            </w:r>
          </w:p>
        </w:tc>
      </w:tr>
      <w:tr w:rsidR="009B431F" w14:paraId="49F86B1E" w14:textId="77777777" w:rsidTr="003B4596">
        <w:tc>
          <w:tcPr>
            <w:tcW w:w="3207" w:type="dxa"/>
          </w:tcPr>
          <w:p w14:paraId="5316CCAF" w14:textId="77777777" w:rsidR="009B431F" w:rsidRDefault="009B431F" w:rsidP="003B4596">
            <w:r>
              <w:t>Høj Intern validitet (kontrol over variabler</w:t>
            </w:r>
          </w:p>
          <w:p w14:paraId="2CB74046" w14:textId="77777777" w:rsidR="009B431F" w:rsidRDefault="009B431F" w:rsidP="003B4596"/>
          <w:p w14:paraId="0D298A16" w14:textId="77777777" w:rsidR="009B431F" w:rsidRDefault="009B431F" w:rsidP="003B4596">
            <w:r>
              <w:t>Lav økologisk validitet (høj kontrol skaber oftest kunstigt miljø)</w:t>
            </w:r>
          </w:p>
          <w:p w14:paraId="0DA31A81" w14:textId="77777777" w:rsidR="009B431F" w:rsidRDefault="009B431F" w:rsidP="003B4596"/>
          <w:p w14:paraId="453C764B" w14:textId="77777777" w:rsidR="009B431F" w:rsidRDefault="009B431F" w:rsidP="003B4596">
            <w:r>
              <w:t>Ekstern validitet (kan være lav, hvis det er for kunstigt, men afhænger typisk af om forsøgspersonerne og situationerne er repræsentative for store grupper i den virkelige verden eller om situationen ligner noget fra den virkelige verden)</w:t>
            </w:r>
          </w:p>
          <w:p w14:paraId="3B92F443" w14:textId="77777777" w:rsidR="009B431F" w:rsidRDefault="009B431F" w:rsidP="003B4596">
            <w:r>
              <w:t xml:space="preserve"> </w:t>
            </w:r>
          </w:p>
        </w:tc>
        <w:tc>
          <w:tcPr>
            <w:tcW w:w="3207" w:type="dxa"/>
          </w:tcPr>
          <w:p w14:paraId="0FB18017" w14:textId="77777777" w:rsidR="009B431F" w:rsidRDefault="009B431F" w:rsidP="003B4596">
            <w:r>
              <w:t>Lavere Intern validitet (mindre styring/lavere kontrol over adfærd og tænkning i eksperimentet)</w:t>
            </w:r>
          </w:p>
          <w:p w14:paraId="278BAC5A" w14:textId="77777777" w:rsidR="009B431F" w:rsidRDefault="009B431F" w:rsidP="003B4596"/>
          <w:p w14:paraId="345FC2CD" w14:textId="77777777" w:rsidR="009B431F" w:rsidRDefault="009B431F" w:rsidP="003B4596">
            <w:r>
              <w:t>Høj økologisk validitet – ligner typisk virkelige situationer</w:t>
            </w:r>
          </w:p>
          <w:p w14:paraId="58C0FE99" w14:textId="77777777" w:rsidR="009B431F" w:rsidRDefault="009B431F" w:rsidP="003B4596"/>
          <w:p w14:paraId="7EF42266" w14:textId="77777777" w:rsidR="009B431F" w:rsidRDefault="009B431F" w:rsidP="003B4596"/>
          <w:p w14:paraId="76D895B1" w14:textId="77777777" w:rsidR="009B431F" w:rsidRDefault="009B431F" w:rsidP="003B4596">
            <w:r>
              <w:t xml:space="preserve">Ofte høj ekstern validitet, hvis forsøgspersonerne er repræsentative for store virkelige grupper og situationen er virkelighedsnær/normal  </w:t>
            </w:r>
          </w:p>
        </w:tc>
        <w:tc>
          <w:tcPr>
            <w:tcW w:w="3208" w:type="dxa"/>
          </w:tcPr>
          <w:p w14:paraId="6DF3A434" w14:textId="77777777" w:rsidR="009B431F" w:rsidRDefault="009B431F" w:rsidP="003B4596">
            <w:r>
              <w:t>Lav intern validitet (ingen styring)</w:t>
            </w:r>
          </w:p>
          <w:p w14:paraId="36EF574D" w14:textId="77777777" w:rsidR="009B431F" w:rsidRDefault="009B431F" w:rsidP="003B4596"/>
          <w:p w14:paraId="16F4FAEB" w14:textId="77777777" w:rsidR="009B431F" w:rsidRDefault="009B431F" w:rsidP="003B4596">
            <w:r>
              <w:t>Høj økologisk (det er en naturlig situation/ikke planlagt)</w:t>
            </w:r>
          </w:p>
          <w:p w14:paraId="4F4AC9F5" w14:textId="77777777" w:rsidR="009B431F" w:rsidRDefault="009B431F" w:rsidP="003B4596"/>
          <w:p w14:paraId="0332ABE0" w14:textId="77777777" w:rsidR="009B431F" w:rsidRDefault="009B431F" w:rsidP="003B4596">
            <w:r>
              <w:t>Ekstern validitet – kommer an på om situationen er speciel eller normal i et samfund.</w:t>
            </w:r>
          </w:p>
        </w:tc>
      </w:tr>
    </w:tbl>
    <w:p w14:paraId="5A324753" w14:textId="77777777" w:rsidR="009B431F" w:rsidRDefault="009B431F" w:rsidP="009B431F"/>
    <w:p w14:paraId="55E71B6F" w14:textId="77777777" w:rsidR="009B431F" w:rsidRDefault="009B431F" w:rsidP="009B431F"/>
    <w:p w14:paraId="1E145AD3" w14:textId="77777777" w:rsidR="009B431F" w:rsidRDefault="009B431F" w:rsidP="009B431F">
      <w:pPr>
        <w:rPr>
          <w:u w:val="single"/>
        </w:rPr>
      </w:pPr>
      <w:r>
        <w:rPr>
          <w:u w:val="single"/>
        </w:rPr>
        <w:t xml:space="preserve">Reliabilitet </w:t>
      </w:r>
    </w:p>
    <w:p w14:paraId="0DED20E7" w14:textId="77777777" w:rsidR="009B431F" w:rsidRPr="0074471E" w:rsidRDefault="009B431F" w:rsidP="009B431F">
      <w:r>
        <w:t xml:space="preserve">Er indsamlingen af data præcis beskrevet og let at foretage, så forskere over tid og på tværs af lande indsamler data på en ensartet måde. Fx har man veldefinerede observationsmål, registrere og kategoriserer man de samme observationer på samme måde eller kommer den ene forsker til </w:t>
      </w:r>
      <w:proofErr w:type="gramStart"/>
      <w:r>
        <w:t>kategorisere</w:t>
      </w:r>
      <w:proofErr w:type="gramEnd"/>
      <w:r>
        <w:t xml:space="preserve"> en observation eller et svar anderledes end en anden forsker.</w:t>
      </w:r>
    </w:p>
    <w:p w14:paraId="2CB3661C" w14:textId="77777777" w:rsidR="009B431F" w:rsidRDefault="009B431F" w:rsidP="009B431F">
      <w:pPr>
        <w:rPr>
          <w:u w:val="single"/>
        </w:rPr>
      </w:pPr>
      <w:r w:rsidRPr="0074471E">
        <w:rPr>
          <w:u w:val="single"/>
        </w:rPr>
        <w:t>Validitet</w:t>
      </w:r>
    </w:p>
    <w:p w14:paraId="79610255" w14:textId="77777777" w:rsidR="009B431F" w:rsidRDefault="009B431F" w:rsidP="009B431F">
      <w:pPr>
        <w:rPr>
          <w:u w:val="single"/>
        </w:rPr>
      </w:pPr>
    </w:p>
    <w:sectPr w:rsidR="009B431F" w:rsidSect="009B431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1F"/>
    <w:rsid w:val="006449BE"/>
    <w:rsid w:val="009B43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A809"/>
  <w15:chartTrackingRefBased/>
  <w15:docId w15:val="{5E682E5A-7C16-4947-A121-C8212EED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31F"/>
    <w:pPr>
      <w:spacing w:after="0" w:line="240" w:lineRule="auto"/>
    </w:pPr>
    <w:rPr>
      <w:kern w:val="0"/>
      <w14:ligatures w14:val="none"/>
    </w:rPr>
  </w:style>
  <w:style w:type="paragraph" w:styleId="Overskrift1">
    <w:name w:val="heading 1"/>
    <w:basedOn w:val="Normal"/>
    <w:next w:val="Normal"/>
    <w:link w:val="Overskrift1Tegn"/>
    <w:uiPriority w:val="9"/>
    <w:qFormat/>
    <w:rsid w:val="009B43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9B43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9B431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9B431F"/>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9B431F"/>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9B431F"/>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9B431F"/>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9B431F"/>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9B431F"/>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B43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9B43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9B431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9B431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9B431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9B431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B431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B431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B431F"/>
    <w:rPr>
      <w:rFonts w:eastAsiaTheme="majorEastAsia" w:cstheme="majorBidi"/>
      <w:color w:val="272727" w:themeColor="text1" w:themeTint="D8"/>
    </w:rPr>
  </w:style>
  <w:style w:type="paragraph" w:styleId="Titel">
    <w:name w:val="Title"/>
    <w:basedOn w:val="Normal"/>
    <w:next w:val="Normal"/>
    <w:link w:val="TitelTegn"/>
    <w:uiPriority w:val="10"/>
    <w:qFormat/>
    <w:rsid w:val="009B43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9B431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B431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9B431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B431F"/>
    <w:pPr>
      <w:spacing w:before="160" w:after="160" w:line="278" w:lineRule="auto"/>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9B431F"/>
    <w:rPr>
      <w:i/>
      <w:iCs/>
      <w:color w:val="404040" w:themeColor="text1" w:themeTint="BF"/>
    </w:rPr>
  </w:style>
  <w:style w:type="paragraph" w:styleId="Listeafsnit">
    <w:name w:val="List Paragraph"/>
    <w:basedOn w:val="Normal"/>
    <w:uiPriority w:val="34"/>
    <w:qFormat/>
    <w:rsid w:val="009B431F"/>
    <w:pPr>
      <w:spacing w:after="160" w:line="278" w:lineRule="auto"/>
      <w:ind w:left="720"/>
      <w:contextualSpacing/>
    </w:pPr>
    <w:rPr>
      <w:kern w:val="2"/>
      <w14:ligatures w14:val="standardContextual"/>
    </w:rPr>
  </w:style>
  <w:style w:type="character" w:styleId="Kraftigfremhvning">
    <w:name w:val="Intense Emphasis"/>
    <w:basedOn w:val="Standardskrifttypeiafsnit"/>
    <w:uiPriority w:val="21"/>
    <w:qFormat/>
    <w:rsid w:val="009B431F"/>
    <w:rPr>
      <w:i/>
      <w:iCs/>
      <w:color w:val="0F4761" w:themeColor="accent1" w:themeShade="BF"/>
    </w:rPr>
  </w:style>
  <w:style w:type="paragraph" w:styleId="Strktcitat">
    <w:name w:val="Intense Quote"/>
    <w:basedOn w:val="Normal"/>
    <w:next w:val="Normal"/>
    <w:link w:val="StrktcitatTegn"/>
    <w:uiPriority w:val="30"/>
    <w:qFormat/>
    <w:rsid w:val="009B431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9B431F"/>
    <w:rPr>
      <w:i/>
      <w:iCs/>
      <w:color w:val="0F4761" w:themeColor="accent1" w:themeShade="BF"/>
    </w:rPr>
  </w:style>
  <w:style w:type="character" w:styleId="Kraftighenvisning">
    <w:name w:val="Intense Reference"/>
    <w:basedOn w:val="Standardskrifttypeiafsnit"/>
    <w:uiPriority w:val="32"/>
    <w:qFormat/>
    <w:rsid w:val="009B431F"/>
    <w:rPr>
      <w:b/>
      <w:bCs/>
      <w:smallCaps/>
      <w:color w:val="0F4761" w:themeColor="accent1" w:themeShade="BF"/>
      <w:spacing w:val="5"/>
    </w:rPr>
  </w:style>
  <w:style w:type="table" w:styleId="Tabel-Gitter">
    <w:name w:val="Table Grid"/>
    <w:basedOn w:val="Tabel-Normal"/>
    <w:uiPriority w:val="39"/>
    <w:rsid w:val="009B43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1624</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 Gronwald-Storm</dc:creator>
  <cp:keywords/>
  <dc:description/>
  <cp:lastModifiedBy>Christoffer N. Gronwald-Storm</cp:lastModifiedBy>
  <cp:revision>1</cp:revision>
  <dcterms:created xsi:type="dcterms:W3CDTF">2025-01-24T07:53:00Z</dcterms:created>
  <dcterms:modified xsi:type="dcterms:W3CDTF">2025-01-24T07:56:00Z</dcterms:modified>
</cp:coreProperties>
</file>