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3A78" w14:textId="158A407B" w:rsidR="005D2AB0" w:rsidRPr="005D2AB0" w:rsidRDefault="005D2AB0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To steder - så forskelligt - og så alligevel</w:t>
      </w:r>
      <w:r w:rsidR="000A7354">
        <w:rPr>
          <w:rFonts w:ascii="Garamond" w:hAnsi="Garamond"/>
          <w:b/>
          <w:bCs/>
          <w:sz w:val="24"/>
          <w:szCs w:val="24"/>
        </w:rPr>
        <w:t xml:space="preserve"> - En øvelse med abstraktion</w:t>
      </w:r>
    </w:p>
    <w:p w14:paraId="6E78655F" w14:textId="536BF977" w:rsidR="009103E9" w:rsidRDefault="0045657A">
      <w:r>
        <w:rPr>
          <w:noProof/>
        </w:rPr>
        <w:drawing>
          <wp:inline distT="0" distB="0" distL="0" distR="0" wp14:anchorId="21807300" wp14:editId="34EF1292">
            <wp:extent cx="4727199" cy="5899150"/>
            <wp:effectExtent l="0" t="0" r="0" b="6350"/>
            <wp:docPr id="1" name="Billede 1" descr="A Mountain Climber,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Mountain Climber, 19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199" cy="589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5DA03" w14:textId="77777777" w:rsidR="0053165C" w:rsidRPr="0045657A" w:rsidRDefault="0045657A" w:rsidP="0045657A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Cs/>
          <w:i/>
          <w:sz w:val="20"/>
          <w:szCs w:val="20"/>
          <w:lang w:eastAsia="da-DK"/>
        </w:rPr>
      </w:pPr>
      <w:r w:rsidRPr="0045657A"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  <w:t>Om værket</w:t>
      </w:r>
      <w:r w:rsidR="0053165C">
        <w:rPr>
          <w:rStyle w:val="Fodnotehenvisning"/>
          <w:rFonts w:ascii="Garamond" w:eastAsia="Times New Roman" w:hAnsi="Garamond" w:cs="Times New Roman"/>
          <w:b/>
          <w:bCs/>
          <w:sz w:val="24"/>
          <w:szCs w:val="24"/>
          <w:lang w:eastAsia="da-DK"/>
        </w:rPr>
        <w:footnoteReference w:id="1"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  <w:t>; J.F. Willumsen: En bjergbestigerske, 1912.</w:t>
      </w:r>
      <w:r w:rsidR="0053165C"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  <w:t xml:space="preserve"> </w:t>
      </w:r>
      <w:hyperlink r:id="rId8" w:history="1"/>
    </w:p>
    <w:p w14:paraId="76195929" w14:textId="512EC0C1" w:rsidR="0045657A" w:rsidRDefault="0045657A" w:rsidP="008933C6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45657A">
        <w:rPr>
          <w:rFonts w:ascii="Garamond" w:eastAsia="Times New Roman" w:hAnsi="Garamond" w:cs="Times New Roman"/>
          <w:sz w:val="24"/>
          <w:szCs w:val="24"/>
          <w:lang w:eastAsia="da-DK"/>
        </w:rPr>
        <w:t>Bjergene, lyset og mennesket som krop og køn er hovedelementerne i J. F. Willumsens livskraftige kunst. Men ingen steder synliggjort med samme styrke og overbevisning som i dette værk.</w:t>
      </w:r>
      <w:r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</w:t>
      </w:r>
      <w:r w:rsidRPr="0045657A">
        <w:rPr>
          <w:rFonts w:ascii="Garamond" w:eastAsia="Times New Roman" w:hAnsi="Garamond" w:cs="Times New Roman"/>
          <w:sz w:val="24"/>
          <w:szCs w:val="24"/>
          <w:lang w:eastAsia="da-DK"/>
        </w:rPr>
        <w:t>Kvinden, Willumsens anden hustru Edith Wessel (1875-1963), har ved egen styrke løftet sig op til verdens top og skuer ud over det monumentale alpelandskab.</w:t>
      </w:r>
      <w:r w:rsidR="008933C6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</w:t>
      </w:r>
      <w:r w:rsidRPr="0045657A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Hun er den moderne, frigjorte kvinde, der frygtløst skuer mod en ny tid. Værket er en eksemplarisk skildring af det “nye” og i </w:t>
      </w:r>
      <w:proofErr w:type="spellStart"/>
      <w:r w:rsidRPr="0045657A">
        <w:rPr>
          <w:rFonts w:ascii="Garamond" w:eastAsia="Times New Roman" w:hAnsi="Garamond" w:cs="Times New Roman"/>
          <w:sz w:val="24"/>
          <w:szCs w:val="24"/>
          <w:lang w:eastAsia="da-DK"/>
        </w:rPr>
        <w:t>nietzscheansk</w:t>
      </w:r>
      <w:proofErr w:type="spellEnd"/>
      <w:r w:rsidRPr="0045657A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forstand “store menneske” i naturen. Et menneske, som er i forening med, men også behersker af naturen.</w:t>
      </w:r>
    </w:p>
    <w:p w14:paraId="03B36208" w14:textId="77777777" w:rsidR="005D2AB0" w:rsidRDefault="005D2AB0" w:rsidP="005D2AB0">
      <w:r>
        <w:rPr>
          <w:noProof/>
        </w:rPr>
        <w:lastRenderedPageBreak/>
        <w:drawing>
          <wp:inline distT="0" distB="0" distL="0" distR="0" wp14:anchorId="2347EF35" wp14:editId="19B07D6D">
            <wp:extent cx="4483100" cy="7848874"/>
            <wp:effectExtent l="0" t="0" r="0" b="0"/>
            <wp:docPr id="5" name="Billede 5" descr="Detail Konrad Mägi värvikirevast teosest „Elsi Lõo portree“ (1915) on KUMU uue püsinäituse nägu. Tema pilku kohtab näitust kirjeldava raamatu kaanel, plakatitel, arvutihiire-mattidel, külmkapimagnetitel ja hetkel lausa KUMU näitusepiletil. Thekla Else (Lõo) Tammist, tuntud ka kui Elsi, sündis 1904. a. Võrus ja suri Kanadas. Ta kuulus korp! Filiae Patriaesse (coetus 1926/27) ja töötas ametnikuna välisministeeriumis enne tütrega põgenemist. 2003. a. Vermontis surnud Tiiu Tammist O'Brien puhkab oma riigikohtunikust vanaisa Jaan Lõo kõrval Tallinna Siselinna kalmistul. Raamatukaane kuvatõmmis Eesti Kunstimuuseumi e-poe (pood.ekm.ee) leh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tail Konrad Mägi värvikirevast teosest „Elsi Lõo portree“ (1915) on KUMU uue püsinäituse nägu. Tema pilku kohtab näitust kirjeldava raamatu kaanel, plakatitel, arvutihiire-mattidel, külmkapimagnetitel ja hetkel lausa KUMU näitusepiletil. Thekla Else (Lõo) Tammist, tuntud ka kui Elsi, sündis 1904. a. Võrus ja suri Kanadas. Ta kuulus korp! Filiae Patriaesse (coetus 1926/27) ja töötas ametnikuna välisministeeriumis enne tütrega põgenemist. 2003. a. Vermontis surnud Tiiu Tammist O'Brien puhkab oma riigikohtunikust vanaisa Jaan Lõo kõrval Tallinna Siselinna kalmistul. Raamatukaane kuvatõmmis Eesti Kunstimuuseumi e-poe (pood.ekm.ee) lehel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74" cy="792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47479" w14:textId="21F279AA" w:rsidR="005D2AB0" w:rsidRDefault="005D2AB0" w:rsidP="005D2AB0">
      <w:pPr>
        <w:rPr>
          <w:rFonts w:ascii="Garamond" w:hAnsi="Garamond"/>
          <w:b/>
          <w:sz w:val="28"/>
          <w:szCs w:val="28"/>
        </w:rPr>
      </w:pPr>
      <w:r w:rsidRPr="00F96214">
        <w:rPr>
          <w:rFonts w:ascii="Garamond" w:hAnsi="Garamond"/>
          <w:b/>
          <w:sz w:val="28"/>
          <w:szCs w:val="28"/>
        </w:rPr>
        <w:t>Konrad Mägi: Portræt</w:t>
      </w:r>
      <w:r>
        <w:rPr>
          <w:rFonts w:ascii="Garamond" w:hAnsi="Garamond"/>
          <w:b/>
          <w:sz w:val="28"/>
          <w:szCs w:val="28"/>
        </w:rPr>
        <w:t xml:space="preserve"> af</w:t>
      </w:r>
      <w:r w:rsidRPr="00F96214">
        <w:rPr>
          <w:rFonts w:ascii="Garamond" w:hAnsi="Garamond"/>
          <w:b/>
          <w:sz w:val="28"/>
          <w:szCs w:val="28"/>
        </w:rPr>
        <w:t xml:space="preserve"> Elsi </w:t>
      </w:r>
      <w:proofErr w:type="spellStart"/>
      <w:r w:rsidRPr="00F96214">
        <w:rPr>
          <w:rFonts w:ascii="Garamond" w:hAnsi="Garamond"/>
          <w:b/>
          <w:sz w:val="28"/>
          <w:szCs w:val="28"/>
        </w:rPr>
        <w:t>Loo</w:t>
      </w:r>
      <w:proofErr w:type="spellEnd"/>
      <w:r w:rsidRPr="00F96214">
        <w:rPr>
          <w:rFonts w:ascii="Garamond" w:hAnsi="Garamond"/>
          <w:b/>
          <w:sz w:val="28"/>
          <w:szCs w:val="28"/>
        </w:rPr>
        <w:t>, 1916/17</w:t>
      </w:r>
      <w:r>
        <w:rPr>
          <w:rFonts w:ascii="Garamond" w:hAnsi="Garamond"/>
          <w:b/>
          <w:sz w:val="28"/>
          <w:szCs w:val="28"/>
        </w:rPr>
        <w:t xml:space="preserve"> (her gengivet som udstillingsplakat)</w:t>
      </w:r>
    </w:p>
    <w:p w14:paraId="6E323B69" w14:textId="181E1505" w:rsidR="005D2AB0" w:rsidRDefault="005D2AB0" w:rsidP="005D2AB0">
      <w:pPr>
        <w:rPr>
          <w:rFonts w:ascii="Garamond" w:hAnsi="Garamond"/>
          <w:b/>
          <w:sz w:val="28"/>
          <w:szCs w:val="28"/>
        </w:rPr>
      </w:pPr>
    </w:p>
    <w:p w14:paraId="55192D9E" w14:textId="79CC20B0" w:rsidR="005D2AB0" w:rsidRDefault="005D2AB0" w:rsidP="005D2AB0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>Opgave - portrættet, farverne og stemningen</w:t>
      </w:r>
    </w:p>
    <w:p w14:paraId="270F04F0" w14:textId="77777777" w:rsidR="005D2AB0" w:rsidRPr="00B55BAB" w:rsidRDefault="005D2AB0" w:rsidP="005D2AB0"/>
    <w:p w14:paraId="1538767E" w14:textId="77777777" w:rsidR="000A7354" w:rsidRPr="000A7354" w:rsidRDefault="000A7354" w:rsidP="000A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da-DK"/>
        </w:rPr>
      </w:pPr>
      <w:r w:rsidRPr="000A7354">
        <w:rPr>
          <w:rFonts w:ascii="Garamond" w:eastAsia="Times New Roman" w:hAnsi="Garamond" w:cs="Times New Roman"/>
          <w:b/>
          <w:sz w:val="24"/>
          <w:szCs w:val="24"/>
          <w:lang w:eastAsia="da-DK"/>
        </w:rPr>
        <w:t>Opgave – teori &amp; analyse</w:t>
      </w:r>
    </w:p>
    <w:p w14:paraId="32267F8A" w14:textId="77777777" w:rsidR="000A7354" w:rsidRPr="000A7354" w:rsidRDefault="000A7354" w:rsidP="000A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da-DK"/>
        </w:rPr>
      </w:pPr>
    </w:p>
    <w:p w14:paraId="09F79AB7" w14:textId="2C91E8F8" w:rsidR="000A7354" w:rsidRPr="000A7354" w:rsidRDefault="000A7354" w:rsidP="000A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da-DK"/>
        </w:rPr>
      </w:pPr>
      <w:r w:rsidRPr="000A7354">
        <w:rPr>
          <w:rFonts w:ascii="Garamond" w:eastAsia="Times New Roman" w:hAnsi="Garamond" w:cs="Times New Roman"/>
          <w:bCs/>
          <w:sz w:val="24"/>
          <w:szCs w:val="24"/>
          <w:lang w:eastAsia="da-DK"/>
        </w:rPr>
        <w:t>Med udgangspunkt i de ovennævnte værker skal du lave en analyse af de t</w:t>
      </w:r>
      <w:r>
        <w:rPr>
          <w:rFonts w:ascii="Garamond" w:eastAsia="Times New Roman" w:hAnsi="Garamond" w:cs="Times New Roman"/>
          <w:bCs/>
          <w:sz w:val="24"/>
          <w:szCs w:val="24"/>
          <w:lang w:eastAsia="da-DK"/>
        </w:rPr>
        <w:t>o</w:t>
      </w:r>
      <w:r w:rsidRPr="000A7354">
        <w:rPr>
          <w:rFonts w:ascii="Garamond" w:eastAsia="Times New Roman" w:hAnsi="Garamond" w:cs="Times New Roman"/>
          <w:bCs/>
          <w:sz w:val="24"/>
          <w:szCs w:val="24"/>
          <w:lang w:eastAsia="da-DK"/>
        </w:rPr>
        <w:t xml:space="preserve"> værker hver for sig; undersøg fx noget med hvilke kompositioner, linjer, former, motiver,</w:t>
      </w:r>
      <w:r>
        <w:rPr>
          <w:rFonts w:ascii="Garamond" w:eastAsia="Times New Roman" w:hAnsi="Garamond" w:cs="Times New Roman"/>
          <w:bCs/>
          <w:sz w:val="24"/>
          <w:szCs w:val="24"/>
          <w:lang w:eastAsia="da-DK"/>
        </w:rPr>
        <w:t xml:space="preserve"> og </w:t>
      </w:r>
      <w:r w:rsidRPr="000A7354">
        <w:rPr>
          <w:rFonts w:ascii="Garamond" w:eastAsia="Times New Roman" w:hAnsi="Garamond" w:cs="Times New Roman"/>
          <w:b/>
          <w:sz w:val="24"/>
          <w:szCs w:val="24"/>
          <w:lang w:eastAsia="da-DK"/>
        </w:rPr>
        <w:t>især farver</w:t>
      </w:r>
      <w:r w:rsidRPr="000A7354">
        <w:rPr>
          <w:rFonts w:ascii="Garamond" w:eastAsia="Times New Roman" w:hAnsi="Garamond" w:cs="Times New Roman"/>
          <w:bCs/>
          <w:sz w:val="24"/>
          <w:szCs w:val="24"/>
          <w:lang w:eastAsia="da-DK"/>
        </w:rPr>
        <w:t xml:space="preserve"> værket består af.</w:t>
      </w:r>
    </w:p>
    <w:p w14:paraId="7AF72030" w14:textId="3F3186D9" w:rsidR="000A7354" w:rsidRPr="000A7354" w:rsidRDefault="000A7354" w:rsidP="000A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da-DK"/>
        </w:rPr>
      </w:pPr>
      <w:r w:rsidRPr="000A7354">
        <w:rPr>
          <w:rFonts w:ascii="Garamond" w:eastAsia="Times New Roman" w:hAnsi="Garamond" w:cs="Times New Roman"/>
          <w:bCs/>
          <w:sz w:val="24"/>
          <w:szCs w:val="24"/>
          <w:lang w:eastAsia="da-DK"/>
        </w:rPr>
        <w:t>Sammenlign herefter de t</w:t>
      </w:r>
      <w:r w:rsidR="00523858">
        <w:rPr>
          <w:rFonts w:ascii="Garamond" w:eastAsia="Times New Roman" w:hAnsi="Garamond" w:cs="Times New Roman"/>
          <w:bCs/>
          <w:sz w:val="24"/>
          <w:szCs w:val="24"/>
          <w:lang w:eastAsia="da-DK"/>
        </w:rPr>
        <w:t>o</w:t>
      </w:r>
      <w:r w:rsidRPr="000A7354">
        <w:rPr>
          <w:rFonts w:ascii="Garamond" w:eastAsia="Times New Roman" w:hAnsi="Garamond" w:cs="Times New Roman"/>
          <w:bCs/>
          <w:sz w:val="24"/>
          <w:szCs w:val="24"/>
          <w:lang w:eastAsia="da-DK"/>
        </w:rPr>
        <w:t xml:space="preserve"> værker med hensyn til hvordan krop og figur er brugt i kunsten.</w:t>
      </w:r>
    </w:p>
    <w:p w14:paraId="759ADD1A" w14:textId="77777777" w:rsidR="000A7354" w:rsidRPr="000A7354" w:rsidRDefault="000A7354" w:rsidP="000A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da-DK"/>
        </w:rPr>
      </w:pPr>
    </w:p>
    <w:p w14:paraId="51211E76" w14:textId="77777777" w:rsidR="000A7354" w:rsidRPr="000A7354" w:rsidRDefault="000A7354" w:rsidP="000A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da-DK"/>
        </w:rPr>
      </w:pPr>
      <w:r w:rsidRPr="000A7354">
        <w:rPr>
          <w:rFonts w:ascii="Garamond" w:eastAsia="Times New Roman" w:hAnsi="Garamond" w:cs="Times New Roman"/>
          <w:bCs/>
          <w:sz w:val="24"/>
          <w:szCs w:val="24"/>
          <w:lang w:eastAsia="da-DK"/>
        </w:rPr>
        <w:t>Til slut undersøges hvordan samtidskunsten (seneste 10 år) bruger krop og figur som udtryksform. Find et par eksempler.</w:t>
      </w:r>
    </w:p>
    <w:p w14:paraId="72B4F5D5" w14:textId="77777777" w:rsidR="005D2AB0" w:rsidRDefault="005D2AB0" w:rsidP="005D2AB0"/>
    <w:p w14:paraId="09A584C2" w14:textId="2DE2B562" w:rsidR="005D2AB0" w:rsidRDefault="005D2AB0" w:rsidP="008933C6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6D553F33" w14:textId="74A3432A" w:rsidR="005D2AB0" w:rsidRDefault="000A7354" w:rsidP="000A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</w:pPr>
      <w:r w:rsidRPr="000A7354"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  <w:t>Opgave - praksis</w:t>
      </w:r>
    </w:p>
    <w:p w14:paraId="365490A1" w14:textId="12341BA2" w:rsidR="000A7354" w:rsidRPr="000A7354" w:rsidRDefault="000A7354" w:rsidP="000A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  <w:r>
        <w:rPr>
          <w:rFonts w:ascii="Garamond" w:eastAsia="Times New Roman" w:hAnsi="Garamond" w:cs="Times New Roman"/>
          <w:sz w:val="24"/>
          <w:szCs w:val="24"/>
          <w:lang w:eastAsia="da-DK"/>
        </w:rPr>
        <w:t>Hvordan ville en abstrakt udgave af et af ovennævnte værker se ud?</w:t>
      </w:r>
    </w:p>
    <w:p w14:paraId="413E5169" w14:textId="0EC5FE6B" w:rsidR="00B44BC9" w:rsidRDefault="00B44BC9" w:rsidP="008933C6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5CBDF71B" w14:textId="77777777" w:rsidR="00B44BC9" w:rsidRPr="0045657A" w:rsidRDefault="00B44BC9" w:rsidP="008933C6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457E8350" w14:textId="77777777" w:rsidR="0045657A" w:rsidRDefault="0045657A"/>
    <w:sectPr w:rsidR="004565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71F5" w14:textId="77777777" w:rsidR="00430186" w:rsidRDefault="00430186" w:rsidP="0053165C">
      <w:pPr>
        <w:spacing w:after="0" w:line="240" w:lineRule="auto"/>
      </w:pPr>
      <w:r>
        <w:separator/>
      </w:r>
    </w:p>
  </w:endnote>
  <w:endnote w:type="continuationSeparator" w:id="0">
    <w:p w14:paraId="164F35FC" w14:textId="77777777" w:rsidR="00430186" w:rsidRDefault="00430186" w:rsidP="0053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F63D" w14:textId="77777777" w:rsidR="00430186" w:rsidRDefault="00430186" w:rsidP="0053165C">
      <w:pPr>
        <w:spacing w:after="0" w:line="240" w:lineRule="auto"/>
      </w:pPr>
      <w:r>
        <w:separator/>
      </w:r>
    </w:p>
  </w:footnote>
  <w:footnote w:type="continuationSeparator" w:id="0">
    <w:p w14:paraId="71311E95" w14:textId="77777777" w:rsidR="00430186" w:rsidRDefault="00430186" w:rsidP="0053165C">
      <w:pPr>
        <w:spacing w:after="0" w:line="240" w:lineRule="auto"/>
      </w:pPr>
      <w:r>
        <w:continuationSeparator/>
      </w:r>
    </w:p>
  </w:footnote>
  <w:footnote w:id="1">
    <w:p w14:paraId="77CD044F" w14:textId="77777777" w:rsidR="0053165C" w:rsidRDefault="0053165C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53165C">
        <w:rPr>
          <w:rFonts w:ascii="Garamond" w:eastAsia="Times New Roman" w:hAnsi="Garamond" w:cs="Times New Roman"/>
          <w:bCs/>
          <w:i/>
          <w:lang w:eastAsia="da-DK"/>
        </w:rPr>
        <w:t>https://www.smk.dk/highlight/en-bjergbestigerske-1912/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7A"/>
    <w:rsid w:val="000A7354"/>
    <w:rsid w:val="000C0B45"/>
    <w:rsid w:val="00117461"/>
    <w:rsid w:val="001F59B1"/>
    <w:rsid w:val="001F7508"/>
    <w:rsid w:val="002F0185"/>
    <w:rsid w:val="00430186"/>
    <w:rsid w:val="0045657A"/>
    <w:rsid w:val="004A4605"/>
    <w:rsid w:val="00523858"/>
    <w:rsid w:val="0053165C"/>
    <w:rsid w:val="005D2AB0"/>
    <w:rsid w:val="008933C6"/>
    <w:rsid w:val="008F309F"/>
    <w:rsid w:val="009103E9"/>
    <w:rsid w:val="00A71D3B"/>
    <w:rsid w:val="00B44BC9"/>
    <w:rsid w:val="00CB16C6"/>
    <w:rsid w:val="00C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735C"/>
  <w15:chartTrackingRefBased/>
  <w15:docId w15:val="{AEA7CBB3-6943-4F55-929D-5D0A12BF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3165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3165C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3165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3165C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316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k.dk/highlight/en-bjergbestigerske-191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91308-B635-43F3-A626-E0CE24C1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Gørup Theilgaard</dc:creator>
  <cp:keywords/>
  <dc:description/>
  <cp:lastModifiedBy>Alf Gørup Theilgaard</cp:lastModifiedBy>
  <cp:revision>2</cp:revision>
  <cp:lastPrinted>2024-03-15T06:55:00Z</cp:lastPrinted>
  <dcterms:created xsi:type="dcterms:W3CDTF">2025-09-11T17:20:00Z</dcterms:created>
  <dcterms:modified xsi:type="dcterms:W3CDTF">2025-09-11T17:20:00Z</dcterms:modified>
</cp:coreProperties>
</file>