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F10C" w14:textId="77777777" w:rsidR="003B13C5" w:rsidRDefault="003B13C5" w:rsidP="003B13C5">
      <w:pPr>
        <w:pStyle w:val="Titel"/>
        <w:jc w:val="center"/>
      </w:pPr>
      <w:r>
        <w:t xml:space="preserve">Katolicisme </w:t>
      </w:r>
      <w:proofErr w:type="spellStart"/>
      <w:r>
        <w:t>vs</w:t>
      </w:r>
      <w:proofErr w:type="spellEnd"/>
      <w:r>
        <w:t xml:space="preserve"> protestantisme</w:t>
      </w:r>
    </w:p>
    <w:p w14:paraId="0D2903C6" w14:textId="77777777" w:rsidR="003B13C5" w:rsidRDefault="003B13C5" w:rsidP="003B13C5">
      <w:pPr>
        <w:pStyle w:val="Undertitel"/>
        <w:jc w:val="center"/>
      </w:pPr>
      <w:r>
        <w:t>Lærernoter</w:t>
      </w:r>
    </w:p>
    <w:p w14:paraId="79826F0F" w14:textId="77777777" w:rsidR="003B13C5" w:rsidRDefault="003B13C5" w:rsidP="003B13C5"/>
    <w:p w14:paraId="1BEB9221" w14:textId="77777777" w:rsidR="003B13C5" w:rsidRDefault="003B13C5" w:rsidP="003B13C5">
      <w:pPr>
        <w:pStyle w:val="Listeafsnit"/>
        <w:numPr>
          <w:ilvl w:val="0"/>
          <w:numId w:val="1"/>
        </w:numPr>
        <w:rPr>
          <w:rFonts w:ascii="Avenir Book" w:hAnsi="Avenir Book"/>
          <w:sz w:val="28"/>
          <w:szCs w:val="28"/>
        </w:rPr>
      </w:pPr>
      <w:r>
        <w:rPr>
          <w:rFonts w:ascii="Avenir Book" w:hAnsi="Avenir Book"/>
          <w:sz w:val="28"/>
          <w:szCs w:val="28"/>
        </w:rPr>
        <w:t>Kristendommen har i alt 3 hovedretninger – katolicisme, ortodoks og protestantisk</w:t>
      </w:r>
    </w:p>
    <w:p w14:paraId="3751C33F" w14:textId="77777777" w:rsidR="003B13C5" w:rsidRDefault="003B13C5" w:rsidP="003B13C5">
      <w:pPr>
        <w:pStyle w:val="Listeafsnit"/>
        <w:numPr>
          <w:ilvl w:val="0"/>
          <w:numId w:val="1"/>
        </w:numPr>
        <w:rPr>
          <w:rFonts w:ascii="Avenir Book" w:hAnsi="Avenir Book"/>
          <w:sz w:val="28"/>
          <w:szCs w:val="28"/>
        </w:rPr>
      </w:pPr>
      <w:r>
        <w:rPr>
          <w:rFonts w:ascii="Avenir Book" w:hAnsi="Avenir Book"/>
          <w:sz w:val="28"/>
          <w:szCs w:val="28"/>
        </w:rPr>
        <w:t xml:space="preserve">I 1054 sker den første splittelse og der opstår en katolsk og en ortodoks retning. </w:t>
      </w:r>
    </w:p>
    <w:p w14:paraId="56BC17C2" w14:textId="77777777" w:rsidR="003B13C5" w:rsidRDefault="003B13C5" w:rsidP="003B13C5">
      <w:pPr>
        <w:pStyle w:val="Listeafsnit"/>
        <w:numPr>
          <w:ilvl w:val="0"/>
          <w:numId w:val="1"/>
        </w:numPr>
        <w:rPr>
          <w:rFonts w:ascii="Avenir Book" w:hAnsi="Avenir Book"/>
          <w:sz w:val="28"/>
          <w:szCs w:val="28"/>
        </w:rPr>
      </w:pPr>
      <w:r>
        <w:rPr>
          <w:rFonts w:ascii="Avenir Book" w:hAnsi="Avenir Book"/>
          <w:sz w:val="28"/>
          <w:szCs w:val="28"/>
        </w:rPr>
        <w:t>Den ortodokse kristendom bredte sig til Mellemøsten, Nordafrika, Rusland, Balkan og det østlige Europa</w:t>
      </w:r>
    </w:p>
    <w:p w14:paraId="08E85F72" w14:textId="77777777" w:rsidR="003B13C5" w:rsidRDefault="003B13C5" w:rsidP="003B13C5">
      <w:pPr>
        <w:pStyle w:val="Listeafsnit"/>
        <w:numPr>
          <w:ilvl w:val="0"/>
          <w:numId w:val="1"/>
        </w:numPr>
        <w:rPr>
          <w:rFonts w:ascii="Avenir Book" w:hAnsi="Avenir Book"/>
          <w:sz w:val="28"/>
          <w:szCs w:val="28"/>
        </w:rPr>
      </w:pPr>
      <w:r>
        <w:rPr>
          <w:rFonts w:ascii="Avenir Book" w:hAnsi="Avenir Book"/>
          <w:sz w:val="28"/>
          <w:szCs w:val="28"/>
        </w:rPr>
        <w:t>Den katolske kristendom bredte sig i det vestlige og nordlige Europa</w:t>
      </w:r>
    </w:p>
    <w:p w14:paraId="55A25674" w14:textId="77777777" w:rsidR="003B13C5" w:rsidRDefault="003B13C5" w:rsidP="003B13C5">
      <w:pPr>
        <w:pStyle w:val="Listeafsnit"/>
        <w:numPr>
          <w:ilvl w:val="0"/>
          <w:numId w:val="1"/>
        </w:numPr>
        <w:rPr>
          <w:rFonts w:ascii="Avenir Book" w:hAnsi="Avenir Book"/>
          <w:sz w:val="28"/>
          <w:szCs w:val="28"/>
        </w:rPr>
      </w:pPr>
      <w:r>
        <w:rPr>
          <w:rFonts w:ascii="Avenir Book" w:hAnsi="Avenir Book"/>
          <w:sz w:val="28"/>
          <w:szCs w:val="28"/>
        </w:rPr>
        <w:t>Den anden splittelse sker i 1500-tallet med Reformationen</w:t>
      </w:r>
    </w:p>
    <w:p w14:paraId="4FDB8944" w14:textId="77777777" w:rsidR="003B13C5" w:rsidRDefault="003B13C5" w:rsidP="003B13C5">
      <w:pPr>
        <w:rPr>
          <w:rFonts w:ascii="Avenir Book" w:hAnsi="Avenir Book"/>
          <w:sz w:val="28"/>
          <w:szCs w:val="28"/>
        </w:rPr>
      </w:pPr>
    </w:p>
    <w:p w14:paraId="342DC979" w14:textId="77777777" w:rsidR="003B13C5" w:rsidRDefault="003B13C5" w:rsidP="003B13C5">
      <w:pPr>
        <w:rPr>
          <w:rFonts w:ascii="Avenir Book" w:hAnsi="Avenir Book"/>
          <w:sz w:val="28"/>
          <w:szCs w:val="28"/>
        </w:rPr>
      </w:pPr>
    </w:p>
    <w:tbl>
      <w:tblPr>
        <w:tblStyle w:val="Tabel-Gitter"/>
        <w:tblW w:w="0" w:type="auto"/>
        <w:tblLook w:val="04A0" w:firstRow="1" w:lastRow="0" w:firstColumn="1" w:lastColumn="0" w:noHBand="0" w:noVBand="1"/>
      </w:tblPr>
      <w:tblGrid>
        <w:gridCol w:w="3207"/>
        <w:gridCol w:w="3207"/>
        <w:gridCol w:w="3208"/>
      </w:tblGrid>
      <w:tr w:rsidR="003B13C5" w14:paraId="434E0144" w14:textId="77777777" w:rsidTr="00006B60">
        <w:tc>
          <w:tcPr>
            <w:tcW w:w="3207" w:type="dxa"/>
            <w:shd w:val="clear" w:color="auto" w:fill="FFD966" w:themeFill="accent4" w:themeFillTint="99"/>
          </w:tcPr>
          <w:p w14:paraId="5B9703A4" w14:textId="77777777" w:rsidR="003B13C5" w:rsidRPr="004F21E3" w:rsidRDefault="003B13C5" w:rsidP="00006B60">
            <w:pPr>
              <w:rPr>
                <w:rFonts w:ascii="Avenir Book" w:hAnsi="Avenir Book"/>
                <w:b/>
                <w:bCs/>
                <w:sz w:val="28"/>
                <w:szCs w:val="28"/>
              </w:rPr>
            </w:pPr>
            <w:r>
              <w:rPr>
                <w:rFonts w:ascii="Avenir Book" w:hAnsi="Avenir Book"/>
                <w:b/>
                <w:bCs/>
                <w:sz w:val="28"/>
                <w:szCs w:val="28"/>
              </w:rPr>
              <w:t>Bibelen</w:t>
            </w:r>
          </w:p>
        </w:tc>
        <w:tc>
          <w:tcPr>
            <w:tcW w:w="3207" w:type="dxa"/>
            <w:shd w:val="clear" w:color="auto" w:fill="FFD966" w:themeFill="accent4" w:themeFillTint="99"/>
          </w:tcPr>
          <w:p w14:paraId="4B739EDE" w14:textId="77777777" w:rsidR="003B13C5" w:rsidRPr="004F21E3" w:rsidRDefault="003B13C5" w:rsidP="00006B60">
            <w:pPr>
              <w:rPr>
                <w:rFonts w:ascii="Avenir Book" w:hAnsi="Avenir Book"/>
              </w:rPr>
            </w:pPr>
            <w:r>
              <w:rPr>
                <w:rFonts w:ascii="Avenir Book" w:hAnsi="Avenir Book"/>
              </w:rPr>
              <w:t>Der lægges vægt på både Bibelen og den kirkelige tradition (repræsenteret ved paven og biskopperne). Vigtige tolkninger besluttes på et kirkemøde</w:t>
            </w:r>
          </w:p>
        </w:tc>
        <w:tc>
          <w:tcPr>
            <w:tcW w:w="3208" w:type="dxa"/>
            <w:shd w:val="clear" w:color="auto" w:fill="FFD966" w:themeFill="accent4" w:themeFillTint="99"/>
          </w:tcPr>
          <w:p w14:paraId="2DA280E4" w14:textId="77777777" w:rsidR="003B13C5" w:rsidRDefault="003B13C5" w:rsidP="00006B60">
            <w:pPr>
              <w:rPr>
                <w:rFonts w:ascii="Avenir Book" w:hAnsi="Avenir Book"/>
              </w:rPr>
            </w:pPr>
            <w:r>
              <w:rPr>
                <w:rFonts w:ascii="Avenir Book" w:hAnsi="Avenir Book"/>
              </w:rPr>
              <w:t>Bibelens autoritet står over kirken</w:t>
            </w:r>
          </w:p>
          <w:p w14:paraId="4E37874A" w14:textId="77777777" w:rsidR="003B13C5" w:rsidRPr="004F21E3" w:rsidRDefault="003B13C5" w:rsidP="00006B60">
            <w:pPr>
              <w:rPr>
                <w:rFonts w:ascii="Avenir Book" w:hAnsi="Avenir Book"/>
              </w:rPr>
            </w:pPr>
            <w:r>
              <w:rPr>
                <w:rFonts w:ascii="Avenir Book" w:hAnsi="Avenir Book"/>
              </w:rPr>
              <w:t>Bibelen taler direkte til den enkelte troende – derfor skal den oversættes til modersmål</w:t>
            </w:r>
          </w:p>
        </w:tc>
      </w:tr>
      <w:tr w:rsidR="003B13C5" w14:paraId="0964810B" w14:textId="77777777" w:rsidTr="00006B60">
        <w:tc>
          <w:tcPr>
            <w:tcW w:w="3207" w:type="dxa"/>
            <w:shd w:val="clear" w:color="auto" w:fill="FFD966" w:themeFill="accent4" w:themeFillTint="99"/>
          </w:tcPr>
          <w:p w14:paraId="22937050" w14:textId="77777777" w:rsidR="003B13C5" w:rsidRPr="004F21E3" w:rsidRDefault="003B13C5" w:rsidP="00006B60">
            <w:pPr>
              <w:rPr>
                <w:rFonts w:ascii="Avenir Book" w:hAnsi="Avenir Book"/>
                <w:b/>
                <w:bCs/>
                <w:sz w:val="28"/>
                <w:szCs w:val="28"/>
              </w:rPr>
            </w:pPr>
            <w:r>
              <w:rPr>
                <w:rFonts w:ascii="Avenir Book" w:hAnsi="Avenir Book"/>
                <w:b/>
                <w:bCs/>
                <w:sz w:val="28"/>
                <w:szCs w:val="28"/>
              </w:rPr>
              <w:t>Religiøst hierarki</w:t>
            </w:r>
          </w:p>
        </w:tc>
        <w:tc>
          <w:tcPr>
            <w:tcW w:w="3207" w:type="dxa"/>
            <w:shd w:val="clear" w:color="auto" w:fill="FFD966" w:themeFill="accent4" w:themeFillTint="99"/>
          </w:tcPr>
          <w:p w14:paraId="0D48620A" w14:textId="77777777" w:rsidR="003B13C5" w:rsidRPr="004F21E3" w:rsidRDefault="003B13C5" w:rsidP="00006B60">
            <w:pPr>
              <w:rPr>
                <w:rFonts w:ascii="Avenir Book" w:hAnsi="Avenir Book"/>
              </w:rPr>
            </w:pPr>
            <w:r>
              <w:rPr>
                <w:rFonts w:ascii="Avenir Book" w:hAnsi="Avenir Book"/>
              </w:rPr>
              <w:t>Paven er Kristi stedfortræder og kan bestemme hvad der er rigtig kristendom. Strengt religiøst hierarki. Der er forskel på gejstlige og lægfolk</w:t>
            </w:r>
          </w:p>
        </w:tc>
        <w:tc>
          <w:tcPr>
            <w:tcW w:w="3208" w:type="dxa"/>
            <w:shd w:val="clear" w:color="auto" w:fill="FFD966" w:themeFill="accent4" w:themeFillTint="99"/>
          </w:tcPr>
          <w:p w14:paraId="2CE5DD38" w14:textId="77777777" w:rsidR="003B13C5" w:rsidRPr="004F21E3" w:rsidRDefault="003B13C5" w:rsidP="00006B60">
            <w:pPr>
              <w:rPr>
                <w:rFonts w:ascii="Avenir Book" w:hAnsi="Avenir Book"/>
              </w:rPr>
            </w:pPr>
            <w:r>
              <w:rPr>
                <w:rFonts w:ascii="Avenir Book" w:hAnsi="Avenir Book"/>
              </w:rPr>
              <w:t>Luther afviser pavens overhøjhed. Hverken paven eller kirken skal stå mellem Gud og menneske. Alle mennesker står lige overfor Gud og har ret til at forkynde ordet. Ingen forskel på gejstlige og lægfolk</w:t>
            </w:r>
          </w:p>
        </w:tc>
      </w:tr>
      <w:tr w:rsidR="003B13C5" w14:paraId="03A878B0" w14:textId="77777777" w:rsidTr="00006B60">
        <w:tc>
          <w:tcPr>
            <w:tcW w:w="3207" w:type="dxa"/>
            <w:shd w:val="clear" w:color="auto" w:fill="FFD966" w:themeFill="accent4" w:themeFillTint="99"/>
          </w:tcPr>
          <w:p w14:paraId="6FB73259" w14:textId="77777777" w:rsidR="003B13C5" w:rsidRPr="004F21E3" w:rsidRDefault="003B13C5" w:rsidP="00006B60">
            <w:pPr>
              <w:rPr>
                <w:rFonts w:ascii="Avenir Book" w:hAnsi="Avenir Book"/>
                <w:b/>
                <w:bCs/>
                <w:sz w:val="28"/>
                <w:szCs w:val="28"/>
              </w:rPr>
            </w:pPr>
            <w:r>
              <w:rPr>
                <w:rFonts w:ascii="Avenir Book" w:hAnsi="Avenir Book"/>
                <w:b/>
                <w:bCs/>
                <w:sz w:val="28"/>
                <w:szCs w:val="28"/>
              </w:rPr>
              <w:t>Gudstjeneste og sakramenter</w:t>
            </w:r>
          </w:p>
        </w:tc>
        <w:tc>
          <w:tcPr>
            <w:tcW w:w="3207" w:type="dxa"/>
            <w:shd w:val="clear" w:color="auto" w:fill="FFD966" w:themeFill="accent4" w:themeFillTint="99"/>
          </w:tcPr>
          <w:p w14:paraId="621378BD" w14:textId="77777777" w:rsidR="003B13C5" w:rsidRPr="004F21E3" w:rsidRDefault="003B13C5" w:rsidP="00006B60">
            <w:pPr>
              <w:rPr>
                <w:rFonts w:ascii="Avenir Book" w:hAnsi="Avenir Book"/>
              </w:rPr>
            </w:pPr>
            <w:r>
              <w:rPr>
                <w:rFonts w:ascii="Avenir Book" w:hAnsi="Avenir Book"/>
              </w:rPr>
              <w:t>Nadveren er gudstjenestens højdepunkt. Der er 7 sakramenter. Frem til 1970 foregik messen på latin</w:t>
            </w:r>
          </w:p>
        </w:tc>
        <w:tc>
          <w:tcPr>
            <w:tcW w:w="3208" w:type="dxa"/>
            <w:shd w:val="clear" w:color="auto" w:fill="FFD966" w:themeFill="accent4" w:themeFillTint="99"/>
          </w:tcPr>
          <w:p w14:paraId="200BE6F8" w14:textId="77777777" w:rsidR="003B13C5" w:rsidRPr="00BF5945" w:rsidRDefault="003B13C5" w:rsidP="00006B60">
            <w:pPr>
              <w:rPr>
                <w:rFonts w:ascii="Avenir Book" w:hAnsi="Avenir Book"/>
              </w:rPr>
            </w:pPr>
            <w:r>
              <w:rPr>
                <w:rFonts w:ascii="Avenir Book" w:hAnsi="Avenir Book"/>
              </w:rPr>
              <w:t>Prædikenen er gudstjenestens højdepunkt, Der er 2 sakramenter (dåb og nadver). Gudstjeneste foregår på modersmål</w:t>
            </w:r>
          </w:p>
        </w:tc>
      </w:tr>
      <w:tr w:rsidR="003B13C5" w14:paraId="1C6A7FCC" w14:textId="77777777" w:rsidTr="00006B60">
        <w:tc>
          <w:tcPr>
            <w:tcW w:w="3207" w:type="dxa"/>
            <w:shd w:val="clear" w:color="auto" w:fill="FFD966" w:themeFill="accent4" w:themeFillTint="99"/>
          </w:tcPr>
          <w:p w14:paraId="712A9B14" w14:textId="77777777" w:rsidR="003B13C5" w:rsidRPr="004F21E3" w:rsidRDefault="003B13C5" w:rsidP="00006B60">
            <w:pPr>
              <w:rPr>
                <w:rFonts w:ascii="Avenir Book" w:hAnsi="Avenir Book"/>
                <w:b/>
                <w:bCs/>
                <w:sz w:val="28"/>
                <w:szCs w:val="28"/>
              </w:rPr>
            </w:pPr>
            <w:r>
              <w:rPr>
                <w:rFonts w:ascii="Avenir Book" w:hAnsi="Avenir Book"/>
                <w:b/>
                <w:bCs/>
                <w:sz w:val="28"/>
                <w:szCs w:val="28"/>
              </w:rPr>
              <w:t>Mennesket</w:t>
            </w:r>
          </w:p>
        </w:tc>
        <w:tc>
          <w:tcPr>
            <w:tcW w:w="3207" w:type="dxa"/>
            <w:shd w:val="clear" w:color="auto" w:fill="FFD966" w:themeFill="accent4" w:themeFillTint="99"/>
          </w:tcPr>
          <w:p w14:paraId="0A8C2F60" w14:textId="77777777" w:rsidR="003B13C5" w:rsidRPr="00BF5945" w:rsidRDefault="003B13C5" w:rsidP="00006B60">
            <w:pPr>
              <w:rPr>
                <w:rFonts w:ascii="Avenir Book" w:hAnsi="Avenir Book"/>
              </w:rPr>
            </w:pPr>
            <w:r>
              <w:rPr>
                <w:rFonts w:ascii="Avenir Book" w:hAnsi="Avenir Book"/>
              </w:rPr>
              <w:t xml:space="preserve">Mennesket er syndigt og kan ikke frelse sig selv. Mennesket har pligt til at </w:t>
            </w:r>
            <w:r>
              <w:rPr>
                <w:rFonts w:ascii="Avenir Book" w:hAnsi="Avenir Book"/>
              </w:rPr>
              <w:lastRenderedPageBreak/>
              <w:t>nærme sig Gud via fx gode gerninger og deltagelse i messen</w:t>
            </w:r>
          </w:p>
        </w:tc>
        <w:tc>
          <w:tcPr>
            <w:tcW w:w="3208" w:type="dxa"/>
            <w:shd w:val="clear" w:color="auto" w:fill="FFD966" w:themeFill="accent4" w:themeFillTint="99"/>
          </w:tcPr>
          <w:p w14:paraId="3F0238F0" w14:textId="77777777" w:rsidR="003B13C5" w:rsidRDefault="003B13C5" w:rsidP="00006B60">
            <w:pPr>
              <w:rPr>
                <w:rFonts w:ascii="Avenir Book" w:hAnsi="Avenir Book"/>
              </w:rPr>
            </w:pPr>
            <w:r>
              <w:rPr>
                <w:rFonts w:ascii="Avenir Book" w:hAnsi="Avenir Book"/>
              </w:rPr>
              <w:lastRenderedPageBreak/>
              <w:t xml:space="preserve">Mennesket er både syndigt og retfærdiggjort – selv om </w:t>
            </w:r>
            <w:r>
              <w:rPr>
                <w:rFonts w:ascii="Avenir Book" w:hAnsi="Avenir Book"/>
              </w:rPr>
              <w:lastRenderedPageBreak/>
              <w:t>mennesket hele tiden synder, tilgives det.</w:t>
            </w:r>
          </w:p>
          <w:p w14:paraId="534F1877" w14:textId="77777777" w:rsidR="003B13C5" w:rsidRPr="00BF5945" w:rsidRDefault="003B13C5" w:rsidP="00006B60">
            <w:pPr>
              <w:rPr>
                <w:rFonts w:ascii="Avenir Book" w:hAnsi="Avenir Book"/>
              </w:rPr>
            </w:pPr>
            <w:r>
              <w:rPr>
                <w:rFonts w:ascii="Avenir Book" w:hAnsi="Avenir Book"/>
              </w:rPr>
              <w:t>Retfærdiggørelse via tro</w:t>
            </w:r>
          </w:p>
        </w:tc>
      </w:tr>
    </w:tbl>
    <w:p w14:paraId="3CB58489" w14:textId="77777777" w:rsidR="003B13C5" w:rsidRDefault="003B13C5" w:rsidP="003B13C5">
      <w:pPr>
        <w:rPr>
          <w:rFonts w:ascii="Avenir Book" w:hAnsi="Avenir Book"/>
          <w:sz w:val="28"/>
          <w:szCs w:val="28"/>
        </w:rPr>
      </w:pPr>
    </w:p>
    <w:p w14:paraId="1AAA43EE" w14:textId="77777777" w:rsidR="003B13C5" w:rsidRPr="00DB33B6" w:rsidRDefault="003B13C5" w:rsidP="003B13C5">
      <w:pPr>
        <w:rPr>
          <w:rFonts w:ascii="Avenir Book" w:hAnsi="Avenir Book"/>
          <w:sz w:val="28"/>
          <w:szCs w:val="28"/>
        </w:rPr>
      </w:pPr>
    </w:p>
    <w:p w14:paraId="19FF359C" w14:textId="77777777" w:rsidR="00FD3F1B" w:rsidRDefault="00FD3F1B"/>
    <w:sectPr w:rsidR="00FD3F1B" w:rsidSect="00C9284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B042B"/>
    <w:multiLevelType w:val="hybridMultilevel"/>
    <w:tmpl w:val="188899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84969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C5"/>
    <w:rsid w:val="00283651"/>
    <w:rsid w:val="003B13C5"/>
    <w:rsid w:val="00433E7B"/>
    <w:rsid w:val="006E784E"/>
    <w:rsid w:val="00BE23BD"/>
    <w:rsid w:val="00C9284C"/>
    <w:rsid w:val="00F675E9"/>
    <w:rsid w:val="00FD3F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2E36ABE"/>
  <w14:defaultImageDpi w14:val="32767"/>
  <w15:chartTrackingRefBased/>
  <w15:docId w15:val="{0FE480CB-FFA6-764A-A074-0DCB8509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B13C5"/>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3B13C5"/>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B13C5"/>
    <w:rPr>
      <w:rFonts w:asciiTheme="majorHAnsi" w:eastAsiaTheme="majorEastAsia" w:hAnsiTheme="majorHAnsi" w:cstheme="majorBidi"/>
      <w:spacing w:val="-10"/>
      <w:kern w:val="28"/>
      <w:sz w:val="56"/>
      <w:szCs w:val="56"/>
      <w14:ligatures w14:val="none"/>
    </w:rPr>
  </w:style>
  <w:style w:type="paragraph" w:styleId="Undertitel">
    <w:name w:val="Subtitle"/>
    <w:basedOn w:val="Normal"/>
    <w:next w:val="Normal"/>
    <w:link w:val="UndertitelTegn"/>
    <w:uiPriority w:val="11"/>
    <w:qFormat/>
    <w:rsid w:val="003B13C5"/>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3B13C5"/>
    <w:rPr>
      <w:rFonts w:eastAsiaTheme="minorEastAsia"/>
      <w:color w:val="5A5A5A" w:themeColor="text1" w:themeTint="A5"/>
      <w:spacing w:val="15"/>
      <w:kern w:val="0"/>
      <w:sz w:val="22"/>
      <w:szCs w:val="22"/>
      <w14:ligatures w14:val="none"/>
    </w:rPr>
  </w:style>
  <w:style w:type="paragraph" w:styleId="Listeafsnit">
    <w:name w:val="List Paragraph"/>
    <w:basedOn w:val="Normal"/>
    <w:uiPriority w:val="34"/>
    <w:qFormat/>
    <w:rsid w:val="003B13C5"/>
    <w:pPr>
      <w:ind w:left="720"/>
      <w:contextualSpacing/>
    </w:pPr>
  </w:style>
  <w:style w:type="table" w:styleId="Tabel-Gitter">
    <w:name w:val="Table Grid"/>
    <w:basedOn w:val="Tabel-Normal"/>
    <w:uiPriority w:val="39"/>
    <w:rsid w:val="003B13C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1341</Characters>
  <Application>Microsoft Office Word</Application>
  <DocSecurity>0</DocSecurity>
  <Lines>38</Lines>
  <Paragraphs>13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Therkelsen</dc:creator>
  <cp:keywords/>
  <dc:description/>
  <cp:lastModifiedBy>Signe Therkelsen</cp:lastModifiedBy>
  <cp:revision>1</cp:revision>
  <dcterms:created xsi:type="dcterms:W3CDTF">2023-10-04T18:09:00Z</dcterms:created>
  <dcterms:modified xsi:type="dcterms:W3CDTF">2023-10-04T18:09:00Z</dcterms:modified>
</cp:coreProperties>
</file>