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15F4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Perspektivtekster til Iliaden</w:t>
      </w:r>
    </w:p>
    <w:p w14:paraId="5A7EF9DF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444BDBF" w14:textId="77777777" w:rsidR="00E5546D" w:rsidRDefault="00E5546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 xml:space="preserve">Typer af perspektivtekst: </w:t>
      </w:r>
    </w:p>
    <w:p w14:paraId="6C302B24" w14:textId="77777777" w:rsidR="00E5546D" w:rsidRDefault="00E5546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Efterantik tekst, som omhandler historiske begivenheder i oldtiden, f.eks. en historisk roman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historisk perspektiv</w:t>
      </w:r>
    </w:p>
    <w:p w14:paraId="0EF3ED5B" w14:textId="77777777" w:rsidR="00E5546D" w:rsidRDefault="00E5546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Efterantik tekst, som enten </w:t>
      </w:r>
      <w:r>
        <w:rPr>
          <w:rFonts w:ascii="Calibri" w:eastAsia="Times New Roman" w:hAnsi="Calibri" w:cs="Calibri"/>
          <w:sz w:val="36"/>
          <w:szCs w:val="36"/>
        </w:rPr>
        <w:t xml:space="preserve">direkte refererer til en antik tekst (Intertekstualitet) eller indirekte henviser til en antik tekst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intertekstuelt perspektiv</w:t>
      </w:r>
    </w:p>
    <w:p w14:paraId="3EE5777A" w14:textId="77777777" w:rsidR="00E5546D" w:rsidRDefault="00E5546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Efterantik tekst, som omhandler samme tema som en antik tekst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tematisk perspektiv</w:t>
      </w:r>
    </w:p>
    <w:p w14:paraId="04255EBD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B01CDA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Christa Wolf: Kassandra, 1985</w:t>
      </w:r>
    </w:p>
    <w:p w14:paraId="074FA6C6" w14:textId="77777777" w:rsidR="00E5546D" w:rsidRDefault="00E5546D">
      <w:pPr>
        <w:pStyle w:val="NormalWeb"/>
        <w:spacing w:before="0" w:beforeAutospacing="0" w:after="0" w:afterAutospacing="0"/>
        <w:ind w:left="37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BDA9A9" w14:textId="77777777" w:rsidR="00E5546D" w:rsidRDefault="00E5546D">
      <w:pPr>
        <w:pStyle w:val="NormalWeb"/>
        <w:spacing w:before="0" w:beforeAutospacing="0" w:after="0" w:afterAutospacing="0"/>
        <w:ind w:left="37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2286EC" w14:textId="77777777" w:rsidR="00E5546D" w:rsidRDefault="00E5546D">
      <w:pPr>
        <w:pStyle w:val="NormalWeb"/>
        <w:spacing w:before="0" w:beforeAutospacing="0" w:after="0" w:afterAutospacing="0"/>
        <w:ind w:left="37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F9ECCFF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Christa Wolf:</w:t>
      </w:r>
      <w:r>
        <w:rPr>
          <w:rFonts w:ascii="Calibri" w:hAnsi="Calibri" w:cs="Calibri"/>
          <w:sz w:val="32"/>
          <w:szCs w:val="32"/>
        </w:rPr>
        <w:t xml:space="preserve">  1929-2011. Forfatter i Østtyskland. Både medlem af kommunistpartiet og systemkritiker. Anerkendt af både den østtyske stat og af vestlige stater.  Skriver ofte allegoriske fortællinger. </w:t>
      </w:r>
    </w:p>
    <w:p w14:paraId="1A2B347F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0689A828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04CCF6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4737443" wp14:editId="7C3FF538">
            <wp:extent cx="3086100" cy="20637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EFAE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F2B8C8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3A7B0F0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Den internationale politiske situation i begyndelsen af 1980'erne</w:t>
      </w:r>
      <w:r>
        <w:rPr>
          <w:rFonts w:ascii="Calibri" w:hAnsi="Calibri" w:cs="Calibri"/>
          <w:sz w:val="32"/>
          <w:szCs w:val="32"/>
        </w:rPr>
        <w:t>:</w:t>
      </w:r>
    </w:p>
    <w:p w14:paraId="133BD0B1" w14:textId="77777777" w:rsidR="00E5546D" w:rsidRDefault="00E5546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Europa opdelt i øst (kommunistisk) og vest (demokratisk og kapitalistisk). </w:t>
      </w:r>
    </w:p>
    <w:p w14:paraId="78C1C02F" w14:textId="77777777" w:rsidR="00E5546D" w:rsidRDefault="00E5546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Tyskland opdelt i Østtyskland og Vesttyskland.</w:t>
      </w:r>
    </w:p>
    <w:p w14:paraId="3BF6B985" w14:textId="77777777" w:rsidR="00E5546D" w:rsidRDefault="00E5546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lastRenderedPageBreak/>
        <w:t xml:space="preserve">Atomoprustning i både øst og vest. </w:t>
      </w:r>
    </w:p>
    <w:p w14:paraId="0337F345" w14:textId="77777777" w:rsidR="00E5546D" w:rsidRDefault="00E5546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Atomkrig som en realistisk mulighed.</w:t>
      </w:r>
    </w:p>
    <w:p w14:paraId="147C4A47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F3A3FB6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Romanen "Kassandra"</w:t>
      </w:r>
      <w:r>
        <w:rPr>
          <w:rFonts w:ascii="Calibri" w:hAnsi="Calibri" w:cs="Calibri"/>
          <w:sz w:val="32"/>
          <w:szCs w:val="32"/>
        </w:rPr>
        <w:t xml:space="preserve"> 1983 </w:t>
      </w:r>
    </w:p>
    <w:p w14:paraId="78AB299E" w14:textId="77777777" w:rsidR="00E5546D" w:rsidRDefault="00E5546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Om den trojanske kongedatter og seerske Kassandra og den trojanske krig.</w:t>
      </w:r>
    </w:p>
    <w:p w14:paraId="59688004" w14:textId="77777777" w:rsidR="00E5546D" w:rsidRDefault="00E5546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Apollon forelsker sig i </w:t>
      </w:r>
      <w:r>
        <w:rPr>
          <w:rFonts w:ascii="Calibri" w:eastAsia="Times New Roman" w:hAnsi="Calibri" w:cs="Calibri"/>
          <w:sz w:val="32"/>
          <w:szCs w:val="32"/>
        </w:rPr>
        <w:t xml:space="preserve">Kassandra og giver hende seerevnen. </w:t>
      </w:r>
    </w:p>
    <w:p w14:paraId="19040FC5" w14:textId="77777777" w:rsidR="00E5546D" w:rsidRDefault="00E5546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Da hun afviser ham, straffer han hende ved, at ingen vil tro hendes forudsigelser. </w:t>
      </w:r>
    </w:p>
    <w:p w14:paraId="4BDDA4C6" w14:textId="77777777" w:rsidR="00E5546D" w:rsidRDefault="00E5546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Ved krigens slutning tages hun som krigsfange af Agamemnon. Hun dræbes af Klytaimestra ved ankomsten til Mykene, hvor også Agamemnon dræbes af Klytaimestra.</w:t>
      </w:r>
    </w:p>
    <w:p w14:paraId="11072037" w14:textId="77777777" w:rsidR="00E5546D" w:rsidRDefault="00E5546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Romanen fortælles i tilbageblik fra ankomsten til Mykene.</w:t>
      </w:r>
    </w:p>
    <w:p w14:paraId="596BA11D" w14:textId="77777777" w:rsidR="00E5546D" w:rsidRDefault="00E5546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Udviklingen i Troja under krigen: Fra kvindelige/matriarkalske værdier til krigeriske/patriarkalske værdier</w:t>
      </w:r>
    </w:p>
    <w:p w14:paraId="1110CC26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C7495E3" w14:textId="77777777" w:rsidR="00E5546D" w:rsidRDefault="00E5546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CAF5F1A" wp14:editId="2EE048BB">
            <wp:extent cx="4743450" cy="5029200"/>
            <wp:effectExtent l="0" t="0" r="0" b="0"/>
            <wp:docPr id="2" name="Billede 2" descr="Computergenereret alternativ tekst:&#10;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genereret alternativ tekst:&#10;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6F544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1BF657" w14:textId="77777777" w:rsidR="00E5546D" w:rsidRDefault="00E554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40"/>
        <w:gridCol w:w="3934"/>
        <w:gridCol w:w="6772"/>
      </w:tblGrid>
      <w:tr w:rsidR="00000000" w14:paraId="0DF092C2" w14:textId="77777777">
        <w:trPr>
          <w:divId w:val="10131462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629C4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D2CF5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A-grupper</w:t>
            </w:r>
          </w:p>
        </w:tc>
        <w:tc>
          <w:tcPr>
            <w:tcW w:w="66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F263EF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B-grupper</w:t>
            </w:r>
          </w:p>
        </w:tc>
      </w:tr>
      <w:tr w:rsidR="00000000" w14:paraId="76617AA7" w14:textId="77777777">
        <w:trPr>
          <w:divId w:val="10131462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3AC22A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  <w:tc>
          <w:tcPr>
            <w:tcW w:w="59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7AD1C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sz w:val="34"/>
                <w:szCs w:val="34"/>
              </w:rPr>
              <w:t>Christa Wolf: "Kassandra"</w:t>
            </w:r>
          </w:p>
        </w:tc>
        <w:tc>
          <w:tcPr>
            <w:tcW w:w="6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8DB92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>J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akob Cold: "Brug litteraturen til at bekæmpe Ukrainekrigens dehumanisering: Læs Odysseen og Iliaden"</w:t>
            </w:r>
          </w:p>
          <w:p w14:paraId="260C460F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 </w:t>
            </w:r>
          </w:p>
          <w:p w14:paraId="3FE87502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40"/>
                <w:szCs w:val="40"/>
              </w:rPr>
            </w:pPr>
            <w:hyperlink r:id="rId7" w:history="1">
              <w:r>
                <w:rPr>
                  <w:rStyle w:val="Hyperlink"/>
                  <w:rFonts w:ascii="Calibri Light" w:hAnsi="Calibri Light" w:cs="Calibri Light"/>
                  <w:sz w:val="40"/>
                  <w:szCs w:val="40"/>
                </w:rPr>
                <w:t>https://pov.international/ukrainekrigens-dehumanisering-odysseen-iliaden/</w:t>
              </w:r>
            </w:hyperlink>
          </w:p>
          <w:p w14:paraId="53DD931C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 </w:t>
            </w:r>
          </w:p>
        </w:tc>
      </w:tr>
      <w:tr w:rsidR="00000000" w14:paraId="455C7A88" w14:textId="77777777">
        <w:trPr>
          <w:divId w:val="1013146200"/>
        </w:trPr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AB3E93" w14:textId="77777777" w:rsidR="00E5546D" w:rsidRDefault="00E554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Opgave</w:t>
            </w:r>
          </w:p>
        </w:tc>
        <w:tc>
          <w:tcPr>
            <w:tcW w:w="59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C4215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Tekstuddraget begynder med Paris' hjemkomst til Troja fra Sparta. Han siges at medbringe Helena, men efterhånden går det op for Kassandra, at Helena ikke er i Troja.</w:t>
            </w:r>
          </w:p>
          <w:p w14:paraId="07CFC758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 </w:t>
            </w:r>
          </w:p>
          <w:p w14:paraId="491F38C9" w14:textId="77777777" w:rsidR="00E5546D" w:rsidRDefault="00E5546D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Hvad menes der med begrebet "førkrigen"?</w:t>
            </w:r>
          </w:p>
          <w:p w14:paraId="4DD24B3D" w14:textId="77777777" w:rsidR="00E5546D" w:rsidRDefault="00E5546D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Hvorfor påstår man, at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Helena er i Troja?</w:t>
            </w:r>
          </w:p>
          <w:p w14:paraId="179D434C" w14:textId="77777777" w:rsidR="00E5546D" w:rsidRDefault="00E5546D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Hvordan er forholdet mellem Kassandra og Paris?</w:t>
            </w:r>
          </w:p>
          <w:p w14:paraId="072B6FD0" w14:textId="77777777" w:rsidR="00E5546D" w:rsidRDefault="00E5546D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Hvilke konsekvenser har det for mulighederne for at afslutte krigen, at Helena faktisk ikke er i Troja?</w:t>
            </w:r>
          </w:p>
          <w:p w14:paraId="286D30B1" w14:textId="77777777" w:rsidR="00E5546D" w:rsidRDefault="00E5546D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Hvilke paralleller findes der mellem handlingen i teksten og Christa Wolfs samtid (dvs. Østtyskland i 1980'erne)?</w:t>
            </w:r>
          </w:p>
          <w:p w14:paraId="7FF1BDA1" w14:textId="77777777" w:rsidR="00E5546D" w:rsidRDefault="00E5546D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Hvad kan Christa Wolf bruge den trojanske krig til i sin kritik af forholdene i sin samtid?</w:t>
            </w:r>
          </w:p>
          <w:p w14:paraId="7804C6B1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 </w:t>
            </w:r>
          </w:p>
          <w:p w14:paraId="6A476238" w14:textId="77777777" w:rsidR="00E5546D" w:rsidRDefault="00E5546D">
            <w:pPr>
              <w:pStyle w:val="Overskrift1"/>
              <w:spacing w:before="0" w:beforeAutospacing="0" w:after="0" w:afterAutospacing="0"/>
              <w:ind w:left="720"/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  <w:t>Generelle spørgsmål til perspektivtekster:</w:t>
            </w:r>
          </w:p>
          <w:p w14:paraId="4F8FEA2A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F1735B5" w14:textId="77777777" w:rsidR="00E5546D" w:rsidRDefault="00E5546D">
            <w:pPr>
              <w:numPr>
                <w:ilvl w:val="1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Hvor i perspektivteksten findes direkte og/eller indirekte referencer til antikken?</w:t>
            </w:r>
          </w:p>
          <w:p w14:paraId="1874428A" w14:textId="77777777" w:rsidR="00E5546D" w:rsidRDefault="00E5546D">
            <w:pPr>
              <w:numPr>
                <w:ilvl w:val="1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Hvad er ændret i forhold til antikken?</w:t>
            </w:r>
          </w:p>
          <w:p w14:paraId="3F295D2F" w14:textId="77777777" w:rsidR="00E5546D" w:rsidRDefault="00E5546D">
            <w:pPr>
              <w:numPr>
                <w:ilvl w:val="1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Hvordan og hvorfor bruges antikken i netop denne tekst og sammenhæng?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E89EA1" w14:textId="77777777" w:rsidR="00E5546D" w:rsidRDefault="00E5546D">
            <w:pPr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Hvad betyder "dehumanisering" og "PTSD"?</w:t>
            </w:r>
          </w:p>
          <w:p w14:paraId="671A560F" w14:textId="77777777" w:rsidR="00E5546D" w:rsidRDefault="00E5546D">
            <w:pPr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Hvordan forklarer Jakob Cold i artiklen, at </w:t>
            </w:r>
          </w:p>
          <w:p w14:paraId="786479E7" w14:textId="77777777" w:rsidR="00E5546D" w:rsidRDefault="00E5546D">
            <w:pPr>
              <w:numPr>
                <w:ilvl w:val="2"/>
                <w:numId w:val="8"/>
              </w:numPr>
              <w:textAlignment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Iliaden handler om krigens dehumanisering?</w:t>
            </w:r>
          </w:p>
          <w:p w14:paraId="41A587CE" w14:textId="77777777" w:rsidR="00E5546D" w:rsidRDefault="00E5546D">
            <w:pPr>
              <w:numPr>
                <w:ilvl w:val="2"/>
                <w:numId w:val="8"/>
              </w:numPr>
              <w:textAlignment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Odysseen handler om PTSD?</w:t>
            </w:r>
          </w:p>
          <w:p w14:paraId="0657D177" w14:textId="77777777" w:rsidR="00E5546D" w:rsidRDefault="00E5546D">
            <w:pPr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Hvorfor skal man ifølge Jakob Cold i dag læse Iliaden og Odysseen?</w:t>
            </w:r>
          </w:p>
          <w:p w14:paraId="720B7DB9" w14:textId="77777777" w:rsidR="00E5546D" w:rsidRDefault="00E5546D">
            <w:pPr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Er I enige med forfatteren?</w:t>
            </w:r>
          </w:p>
          <w:p w14:paraId="3DE30497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 </w:t>
            </w:r>
          </w:p>
          <w:p w14:paraId="4933DB5D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 </w:t>
            </w:r>
          </w:p>
          <w:p w14:paraId="657355B3" w14:textId="77777777" w:rsidR="00E5546D" w:rsidRDefault="00E5546D">
            <w:pPr>
              <w:pStyle w:val="Overskrift1"/>
              <w:spacing w:before="0" w:beforeAutospacing="0" w:after="0" w:afterAutospacing="0"/>
              <w:ind w:left="720"/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  <w:t>Generelle spørgsmål til perspektivtekster:</w:t>
            </w:r>
          </w:p>
          <w:p w14:paraId="14ABA8D8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87920C4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 </w:t>
            </w:r>
          </w:p>
          <w:p w14:paraId="79EABED0" w14:textId="77777777" w:rsidR="00E5546D" w:rsidRDefault="00E5546D">
            <w:pPr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Hvor i perspektivteksten findes direkte og/eller indirekte referencer til antikken?</w:t>
            </w:r>
          </w:p>
          <w:p w14:paraId="3DA739EF" w14:textId="77777777" w:rsidR="00E5546D" w:rsidRDefault="00E5546D">
            <w:pPr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Hvad er ændret i forhold til antikken?</w:t>
            </w:r>
          </w:p>
          <w:p w14:paraId="53664FC7" w14:textId="77777777" w:rsidR="00E5546D" w:rsidRDefault="00E5546D">
            <w:pPr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Hvordan og hvorfor bruges antikken i netop denne tekst og sammenhæng?</w:t>
            </w:r>
          </w:p>
          <w:p w14:paraId="170F69D9" w14:textId="77777777" w:rsidR="00E5546D" w:rsidRDefault="00E5546D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 </w:t>
            </w:r>
          </w:p>
        </w:tc>
      </w:tr>
    </w:tbl>
    <w:p w14:paraId="07D57EF0" w14:textId="77777777" w:rsidR="00E5546D" w:rsidRDefault="00E5546D">
      <w:pPr>
        <w:divId w:val="1013146200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260C"/>
    <w:multiLevelType w:val="multilevel"/>
    <w:tmpl w:val="9C8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D3660"/>
    <w:multiLevelType w:val="multilevel"/>
    <w:tmpl w:val="9148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F2C36"/>
    <w:multiLevelType w:val="multilevel"/>
    <w:tmpl w:val="83F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06891"/>
    <w:multiLevelType w:val="multilevel"/>
    <w:tmpl w:val="B290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230AB"/>
    <w:multiLevelType w:val="multilevel"/>
    <w:tmpl w:val="760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8057207">
    <w:abstractNumId w:val="3"/>
  </w:num>
  <w:num w:numId="2" w16cid:durableId="1253901693">
    <w:abstractNumId w:val="4"/>
  </w:num>
  <w:num w:numId="3" w16cid:durableId="2124957718">
    <w:abstractNumId w:val="0"/>
  </w:num>
  <w:num w:numId="4" w16cid:durableId="36467462">
    <w:abstractNumId w:val="2"/>
  </w:num>
  <w:num w:numId="5" w16cid:durableId="149562558">
    <w:abstractNumId w:val="2"/>
    <w:lvlOverride w:ilvl="1">
      <w:startOverride w:val="1"/>
    </w:lvlOverride>
  </w:num>
  <w:num w:numId="6" w16cid:durableId="134016276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332534367">
    <w:abstractNumId w:val="1"/>
  </w:num>
  <w:num w:numId="8" w16cid:durableId="700669221">
    <w:abstractNumId w:val="1"/>
    <w:lvlOverride w:ilvl="1">
      <w:startOverride w:val="1"/>
    </w:lvlOverride>
  </w:num>
  <w:num w:numId="9" w16cid:durableId="192021184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6D"/>
    <w:rsid w:val="00E5546D"/>
    <w:rsid w:val="00F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5808B"/>
  <w15:chartTrackingRefBased/>
  <w15:docId w15:val="{A9A91942-9BFD-485E-A15B-84394FBD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v.international/ukrainekrigens-dehumanisering-odysseen-iliad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2024-12-04T10:18:00Z</dcterms:created>
  <dcterms:modified xsi:type="dcterms:W3CDTF">2024-12-04T10:18:00Z</dcterms:modified>
</cp:coreProperties>
</file>