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4323D" w14:textId="77777777" w:rsidR="00D277F3" w:rsidRPr="00D277F3" w:rsidRDefault="00D277F3" w:rsidP="00D277F3">
      <w:pPr>
        <w:pStyle w:val="Titel"/>
        <w:rPr>
          <w:lang w:val="en-US"/>
        </w:rPr>
      </w:pPr>
      <w:r w:rsidRPr="00D277F3">
        <w:rPr>
          <w:lang w:val="en-US"/>
        </w:rPr>
        <w:t>Irish War of Independence</w:t>
      </w:r>
    </w:p>
    <w:p w14:paraId="2A5A4E7A" w14:textId="15045105" w:rsidR="00453231" w:rsidRPr="00D319E8" w:rsidRDefault="00453231" w:rsidP="00D277F3">
      <w:pPr>
        <w:rPr>
          <w:lang w:val="en-US"/>
        </w:rPr>
      </w:pPr>
      <w:hyperlink r:id="rId8" w:history="1">
        <w:r w:rsidRPr="004C5D6B">
          <w:rPr>
            <w:rStyle w:val="Hyperlink"/>
            <w:lang w:val="en-US"/>
          </w:rPr>
          <w:t>https://www.nam.ac.uk/explore/irish-war-independence</w:t>
        </w:r>
      </w:hyperlink>
    </w:p>
    <w:p w14:paraId="3FEC067D" w14:textId="522B705E" w:rsidR="00B75AC2" w:rsidRPr="00B75AC2" w:rsidRDefault="00B75AC2" w:rsidP="00B75AC2">
      <w:pPr>
        <w:rPr>
          <w:b/>
          <w:bCs/>
          <w:lang w:val="en-US"/>
        </w:rPr>
      </w:pPr>
      <w:r w:rsidRPr="00B75AC2">
        <w:rPr>
          <w:b/>
          <w:bCs/>
          <w:lang w:val="en-US"/>
        </w:rPr>
        <w:t>Task:</w:t>
      </w:r>
    </w:p>
    <w:p w14:paraId="46FB876C" w14:textId="030708DF" w:rsidR="00D319E8" w:rsidRPr="00B75AC2" w:rsidRDefault="00D319E8" w:rsidP="00B75AC2">
      <w:pPr>
        <w:pStyle w:val="Listeafsnit"/>
        <w:numPr>
          <w:ilvl w:val="0"/>
          <w:numId w:val="1"/>
        </w:numPr>
        <w:rPr>
          <w:b/>
          <w:bCs/>
          <w:lang w:val="en-US"/>
        </w:rPr>
      </w:pPr>
      <w:r w:rsidRPr="00B75AC2">
        <w:rPr>
          <w:b/>
          <w:bCs/>
          <w:lang w:val="en-US"/>
        </w:rPr>
        <w:t xml:space="preserve">Pick </w:t>
      </w:r>
      <w:r w:rsidR="00D520F0" w:rsidRPr="00B75AC2">
        <w:rPr>
          <w:b/>
          <w:bCs/>
          <w:lang w:val="en-US"/>
        </w:rPr>
        <w:t>2-3 key words in each section that summarize the main points.</w:t>
      </w:r>
    </w:p>
    <w:p w14:paraId="0FDA4748" w14:textId="36923852" w:rsidR="00D520F0" w:rsidRDefault="00D520F0" w:rsidP="00B75AC2">
      <w:pPr>
        <w:pStyle w:val="Listeafsnit"/>
        <w:numPr>
          <w:ilvl w:val="0"/>
          <w:numId w:val="1"/>
        </w:numPr>
        <w:rPr>
          <w:b/>
          <w:bCs/>
          <w:lang w:val="en-US"/>
        </w:rPr>
      </w:pPr>
      <w:r w:rsidRPr="00B75AC2">
        <w:rPr>
          <w:b/>
          <w:bCs/>
          <w:lang w:val="en-US"/>
        </w:rPr>
        <w:t>Do</w:t>
      </w:r>
      <w:r w:rsidR="00B75AC2" w:rsidRPr="00B75AC2">
        <w:rPr>
          <w:b/>
          <w:bCs/>
          <w:lang w:val="en-US"/>
        </w:rPr>
        <w:t>es any of it relate to other political events you have heard about?</w:t>
      </w:r>
    </w:p>
    <w:p w14:paraId="4146F818" w14:textId="77777777" w:rsidR="00B75AC2" w:rsidRPr="00B75AC2" w:rsidRDefault="00B75AC2" w:rsidP="00B75AC2">
      <w:pPr>
        <w:rPr>
          <w:b/>
          <w:bCs/>
          <w:lang w:val="en-US"/>
        </w:rPr>
      </w:pPr>
    </w:p>
    <w:p w14:paraId="38A91885" w14:textId="77777777" w:rsidR="00D277F3" w:rsidRPr="00C4179F" w:rsidRDefault="00D277F3" w:rsidP="00D277F3">
      <w:pPr>
        <w:rPr>
          <w:rStyle w:val="Strk"/>
          <w:sz w:val="28"/>
          <w:szCs w:val="28"/>
          <w:lang w:val="en-US"/>
        </w:rPr>
      </w:pPr>
      <w:r w:rsidRPr="00C4179F">
        <w:rPr>
          <w:rStyle w:val="Strk"/>
          <w:sz w:val="28"/>
          <w:szCs w:val="28"/>
          <w:lang w:val="en-US"/>
        </w:rPr>
        <w:t>An age-old conflict</w:t>
      </w:r>
    </w:p>
    <w:p w14:paraId="4A1E851A" w14:textId="65ED8469" w:rsidR="00D277F3" w:rsidRPr="00D277F3" w:rsidRDefault="00D277F3" w:rsidP="00D277F3">
      <w:pPr>
        <w:rPr>
          <w:lang w:val="en-US"/>
        </w:rPr>
      </w:pPr>
      <w:r w:rsidRPr="00D277F3">
        <w:rPr>
          <w:lang w:val="en-US"/>
        </w:rPr>
        <w:t>The Irish War of Independence</w:t>
      </w:r>
      <w:r w:rsidR="00C4179F">
        <w:rPr>
          <w:lang w:val="en-US"/>
        </w:rPr>
        <w:t xml:space="preserve"> […]</w:t>
      </w:r>
      <w:r w:rsidRPr="00D277F3">
        <w:rPr>
          <w:lang w:val="en-US"/>
        </w:rPr>
        <w:t xml:space="preserve"> was the climax of a centuries-long struggle for control of Ireland that had seen many bloody wars and revolts against English (and then British) rule, including the </w:t>
      </w:r>
      <w:hyperlink r:id="rId9" w:history="1">
        <w:r w:rsidRPr="00D277F3">
          <w:rPr>
            <w:rStyle w:val="Hyperlink"/>
            <w:lang w:val="en-US"/>
          </w:rPr>
          <w:t>Rebellion of 1798</w:t>
        </w:r>
      </w:hyperlink>
      <w:r w:rsidRPr="00D277F3">
        <w:rPr>
          <w:lang w:val="en-US"/>
        </w:rPr>
        <w:t>.</w:t>
      </w:r>
    </w:p>
    <w:p w14:paraId="0FE507AC" w14:textId="77777777" w:rsidR="00D277F3" w:rsidRPr="00D277F3" w:rsidRDefault="00D277F3" w:rsidP="00D277F3">
      <w:pPr>
        <w:rPr>
          <w:lang w:val="en-US"/>
        </w:rPr>
      </w:pPr>
      <w:r w:rsidRPr="00D277F3">
        <w:rPr>
          <w:lang w:val="en-US"/>
        </w:rPr>
        <w:t>Over the years, this had taken the form of both a sectarian battle between Catholics and Protestants, concentrated mainly in the northern province of Ulster, and a parallel conflict between Irish republicans and the British government.</w:t>
      </w:r>
    </w:p>
    <w:p w14:paraId="45617FB9" w14:textId="77777777" w:rsidR="00D277F3" w:rsidRPr="00D319E8" w:rsidRDefault="00D277F3" w:rsidP="00D277F3">
      <w:pPr>
        <w:rPr>
          <w:rStyle w:val="Strk"/>
          <w:sz w:val="28"/>
          <w:szCs w:val="28"/>
          <w:lang w:val="en-US"/>
        </w:rPr>
      </w:pPr>
      <w:r w:rsidRPr="00D319E8">
        <w:rPr>
          <w:rStyle w:val="Strk"/>
          <w:sz w:val="28"/>
          <w:szCs w:val="28"/>
          <w:lang w:val="en-US"/>
        </w:rPr>
        <w:t>Home Rule</w:t>
      </w:r>
    </w:p>
    <w:p w14:paraId="486DA5DD" w14:textId="7C2CEA76" w:rsidR="00D277F3" w:rsidRPr="00D277F3" w:rsidRDefault="00D277F3" w:rsidP="00D277F3">
      <w:pPr>
        <w:rPr>
          <w:lang w:val="en-US"/>
        </w:rPr>
      </w:pPr>
      <w:r w:rsidRPr="00D277F3">
        <w:rPr>
          <w:lang w:val="en-US"/>
        </w:rPr>
        <w:t xml:space="preserve">In the late 19th and early 20th centuries, a revival of Gaelic culture in Ireland infused the minds of a new generation with a deeper sense of national pride and identity. </w:t>
      </w:r>
      <w:r w:rsidR="00C4179F">
        <w:rPr>
          <w:lang w:val="en-US"/>
        </w:rPr>
        <w:t>[…]</w:t>
      </w:r>
    </w:p>
    <w:p w14:paraId="3180D7F8" w14:textId="75196721" w:rsidR="00D277F3" w:rsidRPr="00D277F3" w:rsidRDefault="00D277F3" w:rsidP="00D277F3">
      <w:pPr>
        <w:rPr>
          <w:lang w:val="en-US"/>
        </w:rPr>
      </w:pPr>
      <w:r w:rsidRPr="00D277F3">
        <w:rPr>
          <w:lang w:val="en-US"/>
        </w:rPr>
        <w:t>This period also saw a movement spearheaded by the Irish Parliamentary Party (IPP) to achieve devolution</w:t>
      </w:r>
      <w:r w:rsidR="00010F00">
        <w:rPr>
          <w:rStyle w:val="Fodnotehenvisning"/>
          <w:lang w:val="en-US"/>
        </w:rPr>
        <w:footnoteReference w:id="1"/>
      </w:r>
      <w:r w:rsidRPr="00D277F3">
        <w:rPr>
          <w:lang w:val="en-US"/>
        </w:rPr>
        <w:t xml:space="preserve"> for Ireland by peaceful and constitutional means. After two parliamentary defeats in 1886 and 1893, this policy - known as ‘Home Rule’ - eventually reached the brink of success in 1912 and was set to become law in 1914. However, it still faced fierce opposition in Ulster, where the Protestant majority was reluctant to be placed under Catholic rule.</w:t>
      </w:r>
    </w:p>
    <w:p w14:paraId="56CA1482" w14:textId="77777777" w:rsidR="00D277F3" w:rsidRPr="00D319E8" w:rsidRDefault="00D277F3" w:rsidP="00D277F3">
      <w:pPr>
        <w:rPr>
          <w:rStyle w:val="Strk"/>
          <w:sz w:val="28"/>
          <w:szCs w:val="28"/>
          <w:lang w:val="en-US"/>
        </w:rPr>
      </w:pPr>
      <w:r w:rsidRPr="00D319E8">
        <w:rPr>
          <w:rStyle w:val="Strk"/>
          <w:sz w:val="28"/>
          <w:szCs w:val="28"/>
          <w:lang w:val="en-US"/>
        </w:rPr>
        <w:t>First World War</w:t>
      </w:r>
    </w:p>
    <w:p w14:paraId="2181A4E8" w14:textId="77777777" w:rsidR="00D277F3" w:rsidRPr="00D277F3" w:rsidRDefault="00D277F3" w:rsidP="00D277F3">
      <w:pPr>
        <w:rPr>
          <w:lang w:val="en-US"/>
        </w:rPr>
      </w:pPr>
      <w:r w:rsidRPr="00D277F3">
        <w:rPr>
          <w:lang w:val="en-US"/>
        </w:rPr>
        <w:t>The </w:t>
      </w:r>
      <w:hyperlink r:id="rId10" w:history="1">
        <w:r w:rsidRPr="00D277F3">
          <w:rPr>
            <w:rStyle w:val="Hyperlink"/>
            <w:lang w:val="en-US"/>
          </w:rPr>
          <w:t>outbreak of the First World War in August 1914</w:t>
        </w:r>
      </w:hyperlink>
      <w:r w:rsidRPr="00D277F3">
        <w:rPr>
          <w:lang w:val="en-US"/>
        </w:rPr>
        <w:t> temporarily diffused the brewing crisis. The Home Rule bill passed into law in September. However, it was suspended for the duration of the conflict with the question of whether there would be separate treatment for Ulster unresolved.</w:t>
      </w:r>
    </w:p>
    <w:p w14:paraId="16CD49E6" w14:textId="77777777" w:rsidR="00D277F3" w:rsidRPr="00D319E8" w:rsidRDefault="00D277F3" w:rsidP="00D277F3">
      <w:pPr>
        <w:rPr>
          <w:rStyle w:val="Strk"/>
          <w:sz w:val="28"/>
          <w:szCs w:val="28"/>
          <w:lang w:val="en-US"/>
        </w:rPr>
      </w:pPr>
      <w:r w:rsidRPr="00D319E8">
        <w:rPr>
          <w:rStyle w:val="Strk"/>
          <w:sz w:val="28"/>
          <w:szCs w:val="28"/>
          <w:lang w:val="en-US"/>
        </w:rPr>
        <w:t>Easter Rising</w:t>
      </w:r>
    </w:p>
    <w:p w14:paraId="5C98CA8E" w14:textId="2A94F20B" w:rsidR="00D277F3" w:rsidRPr="00D277F3" w:rsidRDefault="00D277F3" w:rsidP="00D277F3">
      <w:pPr>
        <w:rPr>
          <w:lang w:val="en-US"/>
        </w:rPr>
      </w:pPr>
      <w:r w:rsidRPr="00D277F3">
        <w:rPr>
          <w:lang w:val="en-US"/>
        </w:rPr>
        <w:t>The setbacks to Home Rule cultivated a sense of betrayal that would help the IRB</w:t>
      </w:r>
      <w:r w:rsidR="00010F00">
        <w:rPr>
          <w:rStyle w:val="Fodnotehenvisning"/>
          <w:lang w:val="en-US"/>
        </w:rPr>
        <w:footnoteReference w:id="2"/>
      </w:r>
      <w:r w:rsidRPr="00D277F3">
        <w:rPr>
          <w:lang w:val="en-US"/>
        </w:rPr>
        <w:t xml:space="preserve"> to justify an uprising </w:t>
      </w:r>
      <w:r w:rsidR="00010F00">
        <w:rPr>
          <w:lang w:val="en-US"/>
        </w:rPr>
        <w:t>[…]</w:t>
      </w:r>
    </w:p>
    <w:p w14:paraId="6C9F86CB" w14:textId="77777777" w:rsidR="00D277F3" w:rsidRPr="00D277F3" w:rsidRDefault="00D277F3" w:rsidP="00D277F3">
      <w:pPr>
        <w:rPr>
          <w:lang w:val="en-US"/>
        </w:rPr>
      </w:pPr>
      <w:r w:rsidRPr="00D277F3">
        <w:rPr>
          <w:lang w:val="en-US"/>
        </w:rPr>
        <w:t xml:space="preserve">Operating on the </w:t>
      </w:r>
      <w:proofErr w:type="gramStart"/>
      <w:r w:rsidRPr="00D277F3">
        <w:rPr>
          <w:lang w:val="en-US"/>
        </w:rPr>
        <w:t>old adage</w:t>
      </w:r>
      <w:proofErr w:type="gramEnd"/>
      <w:r w:rsidRPr="00D277F3">
        <w:rPr>
          <w:lang w:val="en-US"/>
        </w:rPr>
        <w:t xml:space="preserve"> that ‘England’s difficulty is Ireland’s opportunity’, they used the First World War as a chance to strike.</w:t>
      </w:r>
    </w:p>
    <w:p w14:paraId="3F031873" w14:textId="7DA48DE0" w:rsidR="00D277F3" w:rsidRPr="00D277F3" w:rsidRDefault="00D277F3" w:rsidP="00D277F3">
      <w:pPr>
        <w:rPr>
          <w:lang w:val="en-US"/>
        </w:rPr>
      </w:pPr>
      <w:r w:rsidRPr="00D277F3">
        <w:rPr>
          <w:lang w:val="en-US"/>
        </w:rPr>
        <w:lastRenderedPageBreak/>
        <w:t>Remembered as the </w:t>
      </w:r>
      <w:hyperlink r:id="rId11" w:history="1">
        <w:r w:rsidRPr="00D277F3">
          <w:rPr>
            <w:rStyle w:val="Hyperlink"/>
            <w:lang w:val="en-US"/>
          </w:rPr>
          <w:t>Easter Rising</w:t>
        </w:r>
      </w:hyperlink>
      <w:r w:rsidRPr="00D277F3">
        <w:rPr>
          <w:lang w:val="en-US"/>
        </w:rPr>
        <w:t xml:space="preserve">, the IRB’s rebellion was launched on Easter Monday 1916 and ended in bloody failure. However, British handling of the defeated rebels served to transform Irish politics, creating a wave of popular nationalist and republican sympathy. </w:t>
      </w:r>
      <w:r w:rsidR="00010F00">
        <w:rPr>
          <w:lang w:val="en-US"/>
        </w:rPr>
        <w:t>[…]</w:t>
      </w:r>
    </w:p>
    <w:p w14:paraId="74CDD39C" w14:textId="77777777" w:rsidR="00D277F3" w:rsidRDefault="00D277F3" w:rsidP="00D277F3">
      <w:pPr>
        <w:rPr>
          <w:lang w:val="en-US"/>
        </w:rPr>
      </w:pPr>
      <w:r w:rsidRPr="00D277F3">
        <w:rPr>
          <w:lang w:val="en-US"/>
        </w:rPr>
        <w:t xml:space="preserve">This shift in attitude propelled Sinn Féin (‘we ourselves’), a </w:t>
      </w:r>
      <w:proofErr w:type="spellStart"/>
      <w:r w:rsidRPr="00D277F3">
        <w:rPr>
          <w:lang w:val="en-US"/>
        </w:rPr>
        <w:t>hard-line</w:t>
      </w:r>
      <w:proofErr w:type="spellEnd"/>
      <w:r w:rsidRPr="00D277F3">
        <w:rPr>
          <w:lang w:val="en-US"/>
        </w:rPr>
        <w:t xml:space="preserve"> nationalist party with connections to the IRB, to victory in the election of 1918.</w:t>
      </w:r>
    </w:p>
    <w:p w14:paraId="6AAF11BF" w14:textId="62A3267B" w:rsidR="00B01D91" w:rsidRDefault="00B01D91" w:rsidP="00D277F3">
      <w:pPr>
        <w:rPr>
          <w:lang w:val="en-US"/>
        </w:rPr>
      </w:pPr>
      <w:r>
        <w:rPr>
          <w:noProof/>
        </w:rPr>
        <w:drawing>
          <wp:inline distT="0" distB="0" distL="0" distR="0" wp14:anchorId="1F135C2C" wp14:editId="5256B6DD">
            <wp:extent cx="3661458" cy="2929014"/>
            <wp:effectExtent l="0" t="0" r="0" b="5080"/>
            <wp:docPr id="1825257492" name="Billede 9" descr="The destruction following the Easter Rising in Dublin,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destruction following the Easter Rising in Dublin, 19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3927" cy="2938988"/>
                    </a:xfrm>
                    <a:prstGeom prst="rect">
                      <a:avLst/>
                    </a:prstGeom>
                    <a:noFill/>
                    <a:ln>
                      <a:noFill/>
                    </a:ln>
                  </pic:spPr>
                </pic:pic>
              </a:graphicData>
            </a:graphic>
          </wp:inline>
        </w:drawing>
      </w:r>
    </w:p>
    <w:p w14:paraId="69823320" w14:textId="312FDEEB" w:rsidR="00B01D91" w:rsidRPr="00010F00" w:rsidRDefault="00B01D91" w:rsidP="00D277F3">
      <w:pPr>
        <w:rPr>
          <w:i/>
          <w:iCs/>
          <w:lang w:val="en-US"/>
        </w:rPr>
      </w:pPr>
      <w:r w:rsidRPr="00010F00">
        <w:rPr>
          <w:i/>
          <w:iCs/>
          <w:lang w:val="en-US"/>
        </w:rPr>
        <w:t>The destruction following the Easter Rising in Dublin, 1916</w:t>
      </w:r>
    </w:p>
    <w:p w14:paraId="453C2A91" w14:textId="77777777" w:rsidR="00D277F3" w:rsidRPr="00010F00" w:rsidRDefault="00D277F3" w:rsidP="00D277F3">
      <w:pPr>
        <w:rPr>
          <w:rStyle w:val="Strk"/>
          <w:sz w:val="28"/>
          <w:szCs w:val="28"/>
        </w:rPr>
      </w:pPr>
      <w:proofErr w:type="spellStart"/>
      <w:r w:rsidRPr="00010F00">
        <w:rPr>
          <w:rStyle w:val="Strk"/>
          <w:sz w:val="28"/>
          <w:szCs w:val="28"/>
        </w:rPr>
        <w:t>Dáil</w:t>
      </w:r>
      <w:proofErr w:type="spellEnd"/>
      <w:r w:rsidRPr="00010F00">
        <w:rPr>
          <w:rStyle w:val="Strk"/>
          <w:sz w:val="28"/>
          <w:szCs w:val="28"/>
        </w:rPr>
        <w:t xml:space="preserve"> </w:t>
      </w:r>
      <w:proofErr w:type="spellStart"/>
      <w:r w:rsidRPr="00010F00">
        <w:rPr>
          <w:rStyle w:val="Strk"/>
          <w:sz w:val="28"/>
          <w:szCs w:val="28"/>
        </w:rPr>
        <w:t>Éireann</w:t>
      </w:r>
      <w:proofErr w:type="spellEnd"/>
    </w:p>
    <w:p w14:paraId="3039C881" w14:textId="77777777" w:rsidR="00D277F3" w:rsidRPr="00D277F3" w:rsidRDefault="00D277F3" w:rsidP="00D277F3">
      <w:pPr>
        <w:rPr>
          <w:lang w:val="en-US"/>
        </w:rPr>
      </w:pPr>
      <w:r w:rsidRPr="00D277F3">
        <w:rPr>
          <w:lang w:val="en-US"/>
        </w:rPr>
        <w:t xml:space="preserve">To achieve their goal of an independent Ireland, Sinn Féin sought to unilaterally break away from Britain. The </w:t>
      </w:r>
      <w:proofErr w:type="gramStart"/>
      <w:r w:rsidRPr="00D277F3">
        <w:rPr>
          <w:lang w:val="en-US"/>
        </w:rPr>
        <w:t>newly-elected</w:t>
      </w:r>
      <w:proofErr w:type="gramEnd"/>
      <w:r w:rsidRPr="00D277F3">
        <w:rPr>
          <w:lang w:val="en-US"/>
        </w:rPr>
        <w:t xml:space="preserve"> representatives refused to take up their seats in Westminster. Instead, on 21 January 1919, they assembled the first Irish Assembly, the Dáil Éireann, in Dublin.</w:t>
      </w:r>
    </w:p>
    <w:p w14:paraId="33CDCFCF" w14:textId="7FA9ADD9" w:rsidR="00D277F3" w:rsidRPr="00D277F3" w:rsidRDefault="00D277F3" w:rsidP="00D277F3">
      <w:pPr>
        <w:rPr>
          <w:lang w:val="en-US"/>
        </w:rPr>
      </w:pPr>
      <w:r w:rsidRPr="00D277F3">
        <w:rPr>
          <w:lang w:val="en-US"/>
        </w:rPr>
        <w:t xml:space="preserve">The Dáil issued a declaration of independence and appealed for international recognition. It also </w:t>
      </w:r>
      <w:r w:rsidR="00DE03DC">
        <w:rPr>
          <w:lang w:val="en-US"/>
        </w:rPr>
        <w:t xml:space="preserve">[…] </w:t>
      </w:r>
      <w:r w:rsidRPr="00D277F3">
        <w:rPr>
          <w:lang w:val="en-US"/>
        </w:rPr>
        <w:t>encouraged passive resistance, such as strikes and boycotts.</w:t>
      </w:r>
    </w:p>
    <w:p w14:paraId="79AA14F5" w14:textId="77777777" w:rsidR="00D277F3" w:rsidRPr="00D319E8" w:rsidRDefault="00D277F3" w:rsidP="00D277F3">
      <w:pPr>
        <w:rPr>
          <w:rStyle w:val="Strk"/>
          <w:sz w:val="28"/>
          <w:szCs w:val="28"/>
          <w:lang w:val="en-US"/>
        </w:rPr>
      </w:pPr>
      <w:r w:rsidRPr="00D319E8">
        <w:rPr>
          <w:rStyle w:val="Strk"/>
          <w:sz w:val="28"/>
          <w:szCs w:val="28"/>
          <w:lang w:val="en-US"/>
        </w:rPr>
        <w:t>Outbreak</w:t>
      </w:r>
    </w:p>
    <w:p w14:paraId="0CF2F644" w14:textId="77777777" w:rsidR="00D277F3" w:rsidRPr="00D277F3" w:rsidRDefault="00D277F3" w:rsidP="00D277F3">
      <w:pPr>
        <w:rPr>
          <w:lang w:val="en-US"/>
        </w:rPr>
      </w:pPr>
      <w:r w:rsidRPr="00D277F3">
        <w:rPr>
          <w:lang w:val="en-US"/>
        </w:rPr>
        <w:t>While the Dáil’s position was certain to provoke a hostile response from Britain, its members were divided on whether violence should be employed to achieve their goal. However, by now, the IRB and the Irish Volunteers were propelling the country towards war.</w:t>
      </w:r>
    </w:p>
    <w:p w14:paraId="5FDE3A89" w14:textId="2B7F59FD" w:rsidR="00D277F3" w:rsidRDefault="00D277F3" w:rsidP="00D277F3">
      <w:pPr>
        <w:rPr>
          <w:lang w:val="en-US"/>
        </w:rPr>
      </w:pPr>
      <w:r w:rsidRPr="00D277F3">
        <w:rPr>
          <w:lang w:val="en-US"/>
        </w:rPr>
        <w:t>On the same day the Dáil first assembled, two members of the Royal Irish Constabulary</w:t>
      </w:r>
      <w:r w:rsidR="00DE03DC">
        <w:rPr>
          <w:rStyle w:val="Fodnotehenvisning"/>
          <w:lang w:val="en-US"/>
        </w:rPr>
        <w:footnoteReference w:id="3"/>
      </w:r>
      <w:r w:rsidRPr="00D277F3">
        <w:rPr>
          <w:lang w:val="en-US"/>
        </w:rPr>
        <w:t xml:space="preserve"> (RIC) were killed in </w:t>
      </w:r>
      <w:proofErr w:type="spellStart"/>
      <w:r w:rsidRPr="00D277F3">
        <w:rPr>
          <w:lang w:val="en-US"/>
        </w:rPr>
        <w:t>Soloheadbeg</w:t>
      </w:r>
      <w:proofErr w:type="spellEnd"/>
      <w:r w:rsidRPr="00D277F3">
        <w:rPr>
          <w:lang w:val="en-US"/>
        </w:rPr>
        <w:t xml:space="preserve"> in County Tipperary. This action marked the outbreak of the War of Independence.</w:t>
      </w:r>
    </w:p>
    <w:p w14:paraId="64E6525D" w14:textId="77777777" w:rsidR="00B75AC2" w:rsidRDefault="00B75AC2" w:rsidP="00D277F3">
      <w:pPr>
        <w:rPr>
          <w:lang w:val="en-US"/>
        </w:rPr>
      </w:pPr>
    </w:p>
    <w:p w14:paraId="61A5954F" w14:textId="77777777" w:rsidR="00B75AC2" w:rsidRPr="00D277F3" w:rsidRDefault="00B75AC2" w:rsidP="00D277F3">
      <w:pPr>
        <w:rPr>
          <w:lang w:val="en-US"/>
        </w:rPr>
      </w:pPr>
    </w:p>
    <w:p w14:paraId="24E47367" w14:textId="77777777" w:rsidR="00D277F3" w:rsidRPr="00D319E8" w:rsidRDefault="00D277F3" w:rsidP="00D277F3">
      <w:pPr>
        <w:rPr>
          <w:rStyle w:val="Strk"/>
          <w:sz w:val="28"/>
          <w:szCs w:val="28"/>
          <w:lang w:val="en-US"/>
        </w:rPr>
      </w:pPr>
      <w:r w:rsidRPr="00D319E8">
        <w:rPr>
          <w:rStyle w:val="Strk"/>
          <w:sz w:val="28"/>
          <w:szCs w:val="28"/>
          <w:lang w:val="en-US"/>
        </w:rPr>
        <w:lastRenderedPageBreak/>
        <w:t>Irish Republican Army</w:t>
      </w:r>
    </w:p>
    <w:p w14:paraId="6B2BFECC" w14:textId="77777777" w:rsidR="00D277F3" w:rsidRPr="00D277F3" w:rsidRDefault="00D277F3" w:rsidP="00D277F3">
      <w:pPr>
        <w:rPr>
          <w:lang w:val="en-US"/>
        </w:rPr>
      </w:pPr>
      <w:r w:rsidRPr="00D277F3">
        <w:rPr>
          <w:lang w:val="en-US"/>
        </w:rPr>
        <w:t>The IRB and Irish Volunteers were soon operating under a new name, the Irish Republican Army (IRA). With only a few thousand men in the field at any time, and desperately short of arms and ammunition, they could not risk the kind of open warfare attempted in 1916. Instead, they resorted to guerrilla tactics of hit and run.</w:t>
      </w:r>
    </w:p>
    <w:p w14:paraId="11DAC3C9" w14:textId="34ACD5BB" w:rsidR="00D277F3" w:rsidRPr="00D277F3" w:rsidRDefault="00D277F3" w:rsidP="00D277F3">
      <w:pPr>
        <w:rPr>
          <w:lang w:val="en-US"/>
        </w:rPr>
      </w:pPr>
      <w:r w:rsidRPr="00D277F3">
        <w:rPr>
          <w:lang w:val="en-US"/>
        </w:rPr>
        <w:t xml:space="preserve">They </w:t>
      </w:r>
      <w:r w:rsidR="00C4179F">
        <w:rPr>
          <w:lang w:val="en-US"/>
        </w:rPr>
        <w:t>[…]</w:t>
      </w:r>
      <w:r w:rsidRPr="00D277F3">
        <w:rPr>
          <w:lang w:val="en-US"/>
        </w:rPr>
        <w:t xml:space="preserve"> undertook ambushes and assassinations, and struck at key infrastructure - police barracks, tax offices, lines of communication - relying on the support of local people to help them evade capture.</w:t>
      </w:r>
    </w:p>
    <w:p w14:paraId="1095AA3F" w14:textId="55B9BEB3" w:rsidR="00D277F3" w:rsidRDefault="00D277F3" w:rsidP="00D277F3">
      <w:pPr>
        <w:rPr>
          <w:lang w:val="en-US"/>
        </w:rPr>
      </w:pPr>
      <w:r w:rsidRPr="00D277F3">
        <w:rPr>
          <w:lang w:val="en-US"/>
        </w:rPr>
        <w:t>Their principal target was the RIC, the most important symbol and instrument of British rule in Ireland, and the most readily accessible source of badly needed arms.</w:t>
      </w:r>
      <w:r w:rsidR="00DE03DC">
        <w:rPr>
          <w:lang w:val="en-US"/>
        </w:rPr>
        <w:t xml:space="preserve"> […]</w:t>
      </w:r>
    </w:p>
    <w:p w14:paraId="0F41F6B7" w14:textId="77777777" w:rsidR="00763FD1" w:rsidRPr="00763FD1" w:rsidRDefault="00763FD1" w:rsidP="00763FD1">
      <w:pPr>
        <w:rPr>
          <w:rStyle w:val="Strk"/>
          <w:sz w:val="28"/>
          <w:szCs w:val="28"/>
          <w:lang w:val="en-US"/>
        </w:rPr>
      </w:pPr>
      <w:r w:rsidRPr="00763FD1">
        <w:rPr>
          <w:rStyle w:val="Strk"/>
          <w:sz w:val="28"/>
          <w:szCs w:val="28"/>
          <w:lang w:val="en-US"/>
        </w:rPr>
        <w:t>British response</w:t>
      </w:r>
    </w:p>
    <w:p w14:paraId="252B8D27" w14:textId="24DBFB70" w:rsidR="00763FD1" w:rsidRPr="00763FD1" w:rsidRDefault="00763FD1" w:rsidP="00763FD1">
      <w:pPr>
        <w:rPr>
          <w:lang w:val="en-US"/>
        </w:rPr>
      </w:pPr>
      <w:r w:rsidRPr="00763FD1">
        <w:rPr>
          <w:lang w:val="en-US"/>
        </w:rPr>
        <w:t>As the British government gradually became aware of the deteriorating situation in Ireland, it introduced the Government of Ireland Act 1920 in the hope of bringing about a political settlement. However, this new legislation fell far short of what would now satisfy the demands of most Irish nationalists, granting only the limited freedom of Home Rule rather than full independence and republican status.</w:t>
      </w:r>
      <w:r w:rsidR="0035475B">
        <w:rPr>
          <w:lang w:val="en-US"/>
        </w:rPr>
        <w:t xml:space="preserve"> […]</w:t>
      </w:r>
    </w:p>
    <w:p w14:paraId="0B9C3BA9" w14:textId="77777777" w:rsidR="00763FD1" w:rsidRPr="00763FD1" w:rsidRDefault="00763FD1" w:rsidP="00763FD1">
      <w:pPr>
        <w:rPr>
          <w:rStyle w:val="Strk"/>
          <w:sz w:val="28"/>
          <w:szCs w:val="28"/>
          <w:lang w:val="en-US"/>
        </w:rPr>
      </w:pPr>
      <w:r w:rsidRPr="00763FD1">
        <w:rPr>
          <w:rStyle w:val="Strk"/>
          <w:sz w:val="28"/>
          <w:szCs w:val="28"/>
          <w:lang w:val="en-US"/>
        </w:rPr>
        <w:t>Black and Tans</w:t>
      </w:r>
    </w:p>
    <w:p w14:paraId="03A98C94" w14:textId="77777777" w:rsidR="00763FD1" w:rsidRPr="00763FD1" w:rsidRDefault="00763FD1" w:rsidP="00763FD1">
      <w:pPr>
        <w:rPr>
          <w:lang w:val="en-US"/>
        </w:rPr>
      </w:pPr>
      <w:r w:rsidRPr="00763FD1">
        <w:rPr>
          <w:lang w:val="en-US"/>
        </w:rPr>
        <w:t>To fight back against the IRA, the British greatly expanded the RIC. They first recruited a large contingent of constables, comprised mainly of ex-soldiers, known as the ‘Black and Tans’ owing to their mis-matched uniforms.</w:t>
      </w:r>
    </w:p>
    <w:p w14:paraId="1A82B680" w14:textId="77777777" w:rsidR="00763FD1" w:rsidRPr="00763FD1" w:rsidRDefault="00763FD1" w:rsidP="00763FD1">
      <w:pPr>
        <w:rPr>
          <w:lang w:val="en-US"/>
        </w:rPr>
      </w:pPr>
      <w:r w:rsidRPr="00763FD1">
        <w:rPr>
          <w:lang w:val="en-US"/>
        </w:rPr>
        <w:t>A new paramilitary force, the ‘Auxiliary Division’ (AD), was also established. Formed of ex-officers, the AD was intended as a mobile elite striking force.</w:t>
      </w:r>
    </w:p>
    <w:p w14:paraId="23A010D6" w14:textId="77777777" w:rsidR="00763FD1" w:rsidRPr="00763FD1" w:rsidRDefault="00763FD1" w:rsidP="00763FD1">
      <w:r w:rsidRPr="00763FD1">
        <w:rPr>
          <w:lang w:val="en-US"/>
        </w:rPr>
        <w:t xml:space="preserve">These units were given little training and were deployed with neither clear objectives nor an adequate system of hierarchical control. </w:t>
      </w:r>
      <w:proofErr w:type="spellStart"/>
      <w:r w:rsidRPr="00763FD1">
        <w:t>Consequently</w:t>
      </w:r>
      <w:proofErr w:type="spellEnd"/>
      <w:r w:rsidRPr="00763FD1">
        <w:t xml:space="preserve">, </w:t>
      </w:r>
      <w:proofErr w:type="spellStart"/>
      <w:r w:rsidRPr="00763FD1">
        <w:t>they</w:t>
      </w:r>
      <w:proofErr w:type="spellEnd"/>
      <w:r w:rsidRPr="00763FD1">
        <w:t xml:space="preserve"> </w:t>
      </w:r>
      <w:proofErr w:type="spellStart"/>
      <w:r w:rsidRPr="00763FD1">
        <w:t>swiftly</w:t>
      </w:r>
      <w:proofErr w:type="spellEnd"/>
      <w:r w:rsidRPr="00763FD1">
        <w:t xml:space="preserve"> </w:t>
      </w:r>
      <w:proofErr w:type="spellStart"/>
      <w:r w:rsidRPr="00763FD1">
        <w:t>acquired</w:t>
      </w:r>
      <w:proofErr w:type="spellEnd"/>
      <w:r w:rsidRPr="00763FD1">
        <w:t xml:space="preserve"> a reputation for </w:t>
      </w:r>
      <w:proofErr w:type="spellStart"/>
      <w:r w:rsidRPr="00763FD1">
        <w:t>ill-discipline</w:t>
      </w:r>
      <w:proofErr w:type="spellEnd"/>
      <w:r w:rsidRPr="00763FD1">
        <w:t>.</w:t>
      </w:r>
    </w:p>
    <w:p w14:paraId="7FDDEC0D" w14:textId="4A049F00" w:rsidR="00763FD1" w:rsidRPr="00763FD1" w:rsidRDefault="00763FD1" w:rsidP="00763FD1">
      <w:r w:rsidRPr="00763FD1">
        <w:rPr>
          <w:noProof/>
        </w:rPr>
        <w:lastRenderedPageBreak/>
        <w:drawing>
          <wp:inline distT="0" distB="0" distL="0" distR="0" wp14:anchorId="36A8AC11" wp14:editId="1D8B9829">
            <wp:extent cx="4431646" cy="3545133"/>
            <wp:effectExtent l="0" t="0" r="7620" b="0"/>
            <wp:docPr id="970710896" name="Billede 2" descr="A group of Black and Tans and Auxiliaries outside the North and Western Hotel, Dublin,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Black and Tans and Auxiliaries outside the North and Western Hotel, Dublin, 1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9025" cy="3551036"/>
                    </a:xfrm>
                    <a:prstGeom prst="rect">
                      <a:avLst/>
                    </a:prstGeom>
                    <a:noFill/>
                    <a:ln>
                      <a:noFill/>
                    </a:ln>
                  </pic:spPr>
                </pic:pic>
              </a:graphicData>
            </a:graphic>
          </wp:inline>
        </w:drawing>
      </w:r>
    </w:p>
    <w:p w14:paraId="0EEE62F3" w14:textId="71E4B429" w:rsidR="001A6A76" w:rsidRPr="00DE03DC" w:rsidRDefault="00763FD1" w:rsidP="00763FD1">
      <w:pPr>
        <w:rPr>
          <w:rStyle w:val="Strk"/>
          <w:b w:val="0"/>
          <w:bCs w:val="0"/>
          <w:i/>
          <w:iCs/>
          <w:lang w:val="en-US"/>
        </w:rPr>
      </w:pPr>
      <w:r w:rsidRPr="00763FD1">
        <w:rPr>
          <w:i/>
          <w:iCs/>
          <w:lang w:val="en-US"/>
        </w:rPr>
        <w:t>Black and Tans and Auxiliaries outside the North and Western Hotel, Dublin, 1921</w:t>
      </w:r>
    </w:p>
    <w:p w14:paraId="48245BB8" w14:textId="1C4B46F8" w:rsidR="00763FD1" w:rsidRPr="00763FD1" w:rsidRDefault="00763FD1" w:rsidP="00763FD1">
      <w:pPr>
        <w:rPr>
          <w:rStyle w:val="Strk"/>
          <w:sz w:val="28"/>
          <w:szCs w:val="28"/>
          <w:lang w:val="en-US"/>
        </w:rPr>
      </w:pPr>
      <w:r w:rsidRPr="00763FD1">
        <w:rPr>
          <w:rStyle w:val="Strk"/>
          <w:sz w:val="28"/>
          <w:szCs w:val="28"/>
          <w:lang w:val="en-US"/>
        </w:rPr>
        <w:t>Reprisals</w:t>
      </w:r>
    </w:p>
    <w:p w14:paraId="35DF6CA0" w14:textId="0A47388F" w:rsidR="00763FD1" w:rsidRPr="00763FD1" w:rsidRDefault="00763FD1" w:rsidP="00763FD1">
      <w:pPr>
        <w:rPr>
          <w:lang w:val="en-US"/>
        </w:rPr>
      </w:pPr>
      <w:r w:rsidRPr="00763FD1">
        <w:rPr>
          <w:lang w:val="en-US"/>
        </w:rPr>
        <w:t xml:space="preserve">Embittered by IRA </w:t>
      </w:r>
      <w:proofErr w:type="gramStart"/>
      <w:r w:rsidRPr="00763FD1">
        <w:rPr>
          <w:lang w:val="en-US"/>
        </w:rPr>
        <w:t>killings, and</w:t>
      </w:r>
      <w:proofErr w:type="gramEnd"/>
      <w:r w:rsidRPr="00763FD1">
        <w:rPr>
          <w:lang w:val="en-US"/>
        </w:rPr>
        <w:t xml:space="preserve"> frustrated by their inability to get to grips with their elusive foe, the men of these units were responsible for many atrocities. These included torture, extra-judicial killings and the burning of houses and businesses of nationalist </w:t>
      </w:r>
      <w:proofErr w:type="spellStart"/>
      <w:r w:rsidRPr="00763FD1">
        <w:rPr>
          <w:lang w:val="en-US"/>
        </w:rPr>
        <w:t>sympathisers</w:t>
      </w:r>
      <w:proofErr w:type="spellEnd"/>
      <w:r w:rsidRPr="00763FD1">
        <w:rPr>
          <w:lang w:val="en-US"/>
        </w:rPr>
        <w:t>.</w:t>
      </w:r>
      <w:r w:rsidR="0035475B">
        <w:rPr>
          <w:lang w:val="en-US"/>
        </w:rPr>
        <w:t xml:space="preserve"> […]</w:t>
      </w:r>
    </w:p>
    <w:p w14:paraId="36431D58" w14:textId="77777777" w:rsidR="00763FD1" w:rsidRPr="00763FD1" w:rsidRDefault="00763FD1" w:rsidP="00763FD1">
      <w:pPr>
        <w:rPr>
          <w:rStyle w:val="Strk"/>
          <w:sz w:val="28"/>
          <w:szCs w:val="28"/>
          <w:lang w:val="en-US"/>
        </w:rPr>
      </w:pPr>
      <w:r w:rsidRPr="00763FD1">
        <w:rPr>
          <w:rStyle w:val="Strk"/>
          <w:sz w:val="28"/>
          <w:szCs w:val="28"/>
          <w:lang w:val="en-US"/>
        </w:rPr>
        <w:t>Climax</w:t>
      </w:r>
    </w:p>
    <w:p w14:paraId="47C97D87" w14:textId="77777777" w:rsidR="00763FD1" w:rsidRPr="00763FD1" w:rsidRDefault="00763FD1" w:rsidP="00763FD1">
      <w:pPr>
        <w:rPr>
          <w:lang w:val="en-US"/>
        </w:rPr>
      </w:pPr>
      <w:r w:rsidRPr="00763FD1">
        <w:rPr>
          <w:lang w:val="en-US"/>
        </w:rPr>
        <w:t xml:space="preserve">The </w:t>
      </w:r>
      <w:proofErr w:type="spellStart"/>
      <w:r w:rsidRPr="00763FD1">
        <w:rPr>
          <w:lang w:val="en-US"/>
        </w:rPr>
        <w:t>spiralling</w:t>
      </w:r>
      <w:proofErr w:type="spellEnd"/>
      <w:r w:rsidRPr="00763FD1">
        <w:rPr>
          <w:lang w:val="en-US"/>
        </w:rPr>
        <w:t xml:space="preserve"> violence resulted in rising casualties and the destruction of many towns and cities, including </w:t>
      </w:r>
      <w:proofErr w:type="spellStart"/>
      <w:r w:rsidRPr="00763FD1">
        <w:rPr>
          <w:lang w:val="en-US"/>
        </w:rPr>
        <w:t>Tuam</w:t>
      </w:r>
      <w:proofErr w:type="spellEnd"/>
      <w:r w:rsidRPr="00763FD1">
        <w:rPr>
          <w:lang w:val="en-US"/>
        </w:rPr>
        <w:t xml:space="preserve"> (County Galway), Limerick, Balbriggan (County Dublin) and Cork. However, the most notorious incidents took place on a day remembered as ‘Bloody Sunday’.</w:t>
      </w:r>
    </w:p>
    <w:p w14:paraId="17E19111" w14:textId="65904258" w:rsidR="00763FD1" w:rsidRPr="00763FD1" w:rsidRDefault="00763FD1" w:rsidP="00763FD1">
      <w:pPr>
        <w:rPr>
          <w:lang w:val="en-US"/>
        </w:rPr>
      </w:pPr>
      <w:r w:rsidRPr="00763FD1">
        <w:rPr>
          <w:lang w:val="en-US"/>
        </w:rPr>
        <w:t>On 21 November 1920, Collins’s</w:t>
      </w:r>
      <w:r w:rsidR="00C4179F">
        <w:rPr>
          <w:rStyle w:val="Fodnotehenvisning"/>
          <w:lang w:val="en-US"/>
        </w:rPr>
        <w:footnoteReference w:id="4"/>
      </w:r>
      <w:r w:rsidRPr="00763FD1">
        <w:rPr>
          <w:lang w:val="en-US"/>
        </w:rPr>
        <w:t xml:space="preserve"> squad successfully targeted 20 military intelligence officers in the city of Dublin. Fourteen were killed and six were wounded. That afternoon, a massacre ensued at Croke Park football ground, where a group of Auxiliaries fired indiscriminately into the crowd, killing 14 and wounding over 60.</w:t>
      </w:r>
    </w:p>
    <w:p w14:paraId="4386F7AB" w14:textId="77777777" w:rsidR="00763FD1" w:rsidRPr="00763FD1" w:rsidRDefault="00763FD1" w:rsidP="00763FD1">
      <w:pPr>
        <w:rPr>
          <w:lang w:val="en-US"/>
        </w:rPr>
      </w:pPr>
      <w:r w:rsidRPr="00763FD1">
        <w:rPr>
          <w:lang w:val="en-US"/>
        </w:rPr>
        <w:t xml:space="preserve">In the wake of these events, the British declared martial law across parts of south-west Ireland and sanctioned a </w:t>
      </w:r>
      <w:proofErr w:type="spellStart"/>
      <w:r w:rsidRPr="00763FD1">
        <w:rPr>
          <w:lang w:val="en-US"/>
        </w:rPr>
        <w:t>programme</w:t>
      </w:r>
      <w:proofErr w:type="spellEnd"/>
      <w:r w:rsidRPr="00763FD1">
        <w:rPr>
          <w:lang w:val="en-US"/>
        </w:rPr>
        <w:t xml:space="preserve"> of official reprisals. The Army was also given a greater role, mounting sweeps across the countryside to systematically hunt down the insurgents.</w:t>
      </w:r>
    </w:p>
    <w:p w14:paraId="2BD82155" w14:textId="77777777" w:rsidR="00763FD1" w:rsidRPr="00763FD1" w:rsidRDefault="00763FD1" w:rsidP="00763FD1">
      <w:pPr>
        <w:rPr>
          <w:lang w:val="en-US"/>
        </w:rPr>
      </w:pPr>
      <w:r w:rsidRPr="00763FD1">
        <w:rPr>
          <w:lang w:val="en-US"/>
        </w:rPr>
        <w:t>In response, IRA attacks become more ruthless and widespread. The first half of 1921 saw the conflict reach its bloody climax.</w:t>
      </w:r>
    </w:p>
    <w:p w14:paraId="51CD7336" w14:textId="431BCC13" w:rsidR="00D277F3" w:rsidRDefault="00763FD1" w:rsidP="00D277F3">
      <w:pPr>
        <w:rPr>
          <w:lang w:val="en-US"/>
        </w:rPr>
      </w:pPr>
      <w:r>
        <w:rPr>
          <w:noProof/>
        </w:rPr>
        <w:lastRenderedPageBreak/>
        <w:drawing>
          <wp:inline distT="0" distB="0" distL="0" distR="0" wp14:anchorId="1124FF6E" wp14:editId="1174A648">
            <wp:extent cx="6120130" cy="3129280"/>
            <wp:effectExtent l="0" t="0" r="0" b="0"/>
            <wp:docPr id="60137481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4813" name=""/>
                    <pic:cNvPicPr/>
                  </pic:nvPicPr>
                  <pic:blipFill>
                    <a:blip r:embed="rId14"/>
                    <a:stretch>
                      <a:fillRect/>
                    </a:stretch>
                  </pic:blipFill>
                  <pic:spPr>
                    <a:xfrm>
                      <a:off x="0" y="0"/>
                      <a:ext cx="6120130" cy="3129280"/>
                    </a:xfrm>
                    <a:prstGeom prst="rect">
                      <a:avLst/>
                    </a:prstGeom>
                  </pic:spPr>
                </pic:pic>
              </a:graphicData>
            </a:graphic>
          </wp:inline>
        </w:drawing>
      </w:r>
    </w:p>
    <w:p w14:paraId="5AA75FB2" w14:textId="4C4C3836" w:rsidR="00763FD1" w:rsidRPr="00DE03DC" w:rsidRDefault="00763FD1" w:rsidP="00D277F3">
      <w:pPr>
        <w:rPr>
          <w:i/>
          <w:iCs/>
          <w:lang w:val="en-US"/>
        </w:rPr>
      </w:pPr>
      <w:r w:rsidRPr="00DE03DC">
        <w:rPr>
          <w:i/>
          <w:iCs/>
          <w:lang w:val="en-US"/>
        </w:rPr>
        <w:t>The Burning of Cork, 1920</w:t>
      </w:r>
    </w:p>
    <w:p w14:paraId="2EC16703" w14:textId="7148B995" w:rsidR="003C4780" w:rsidRDefault="00B01D91">
      <w:pPr>
        <w:rPr>
          <w:lang w:val="en-US"/>
        </w:rPr>
      </w:pPr>
      <w:r>
        <w:rPr>
          <w:noProof/>
        </w:rPr>
        <w:drawing>
          <wp:inline distT="0" distB="0" distL="0" distR="0" wp14:anchorId="65187168" wp14:editId="0697D704">
            <wp:extent cx="2063750" cy="2877377"/>
            <wp:effectExtent l="0" t="0" r="0" b="0"/>
            <wp:docPr id="173370287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2879" name=""/>
                    <pic:cNvPicPr/>
                  </pic:nvPicPr>
                  <pic:blipFill>
                    <a:blip r:embed="rId15"/>
                    <a:stretch>
                      <a:fillRect/>
                    </a:stretch>
                  </pic:blipFill>
                  <pic:spPr>
                    <a:xfrm>
                      <a:off x="0" y="0"/>
                      <a:ext cx="2077441" cy="2896466"/>
                    </a:xfrm>
                    <a:prstGeom prst="rect">
                      <a:avLst/>
                    </a:prstGeom>
                  </pic:spPr>
                </pic:pic>
              </a:graphicData>
            </a:graphic>
          </wp:inline>
        </w:drawing>
      </w:r>
      <w:r>
        <w:rPr>
          <w:noProof/>
        </w:rPr>
        <w:drawing>
          <wp:inline distT="0" distB="0" distL="0" distR="0" wp14:anchorId="7CED7E48" wp14:editId="6FAB7021">
            <wp:extent cx="3599842" cy="2879725"/>
            <wp:effectExtent l="0" t="0" r="635" b="0"/>
            <wp:docPr id="888373897" name="Billede 7" descr="IRA suspects guarded by British soldiers at the Bandon Barracks, July 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RA suspects guarded by British soldiers at the Bandon Barracks, July 1920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7481" cy="2885836"/>
                    </a:xfrm>
                    <a:prstGeom prst="rect">
                      <a:avLst/>
                    </a:prstGeom>
                    <a:noFill/>
                    <a:ln>
                      <a:noFill/>
                    </a:ln>
                  </pic:spPr>
                </pic:pic>
              </a:graphicData>
            </a:graphic>
          </wp:inline>
        </w:drawing>
      </w:r>
    </w:p>
    <w:p w14:paraId="0DA10E2E" w14:textId="18C6762B" w:rsidR="00B01D91" w:rsidRPr="00DE03DC" w:rsidRDefault="00B01D91">
      <w:pPr>
        <w:rPr>
          <w:i/>
          <w:iCs/>
          <w:lang w:val="en-US"/>
        </w:rPr>
      </w:pPr>
      <w:r w:rsidRPr="00DE03DC">
        <w:rPr>
          <w:i/>
          <w:iCs/>
          <w:lang w:val="en-US"/>
        </w:rPr>
        <w:t>Irish General Service Medal, 1921</w:t>
      </w:r>
      <w:r w:rsidR="00DE03DC">
        <w:rPr>
          <w:i/>
          <w:iCs/>
          <w:lang w:val="en-US"/>
        </w:rPr>
        <w:t xml:space="preserve"> |</w:t>
      </w:r>
      <w:r w:rsidRPr="00DE03DC">
        <w:rPr>
          <w:i/>
          <w:iCs/>
          <w:lang w:val="en-US"/>
        </w:rPr>
        <w:t xml:space="preserve"> IRA suspects guarded by British soldiers</w:t>
      </w:r>
      <w:r w:rsidR="001A6A76" w:rsidRPr="00DE03DC">
        <w:rPr>
          <w:i/>
          <w:iCs/>
          <w:lang w:val="en-US"/>
        </w:rPr>
        <w:t xml:space="preserve">, </w:t>
      </w:r>
      <w:r w:rsidRPr="00DE03DC">
        <w:rPr>
          <w:i/>
          <w:iCs/>
          <w:lang w:val="en-US"/>
        </w:rPr>
        <w:t>July 1920</w:t>
      </w:r>
    </w:p>
    <w:p w14:paraId="173F88B3" w14:textId="77777777" w:rsidR="00B01D91" w:rsidRPr="00B01D91" w:rsidRDefault="00B01D91" w:rsidP="00B01D91">
      <w:pPr>
        <w:rPr>
          <w:rStyle w:val="Strk"/>
          <w:sz w:val="28"/>
          <w:szCs w:val="28"/>
          <w:lang w:val="en-US"/>
        </w:rPr>
      </w:pPr>
      <w:r w:rsidRPr="00B01D91">
        <w:rPr>
          <w:rStyle w:val="Strk"/>
          <w:sz w:val="28"/>
          <w:szCs w:val="28"/>
          <w:lang w:val="en-US"/>
        </w:rPr>
        <w:t>Ulster</w:t>
      </w:r>
    </w:p>
    <w:p w14:paraId="7B6BEAAE" w14:textId="5AABCE27" w:rsidR="00B01D91" w:rsidRPr="00B01D91" w:rsidRDefault="00B01D91" w:rsidP="00B01D91">
      <w:pPr>
        <w:rPr>
          <w:lang w:val="en-US"/>
        </w:rPr>
      </w:pPr>
      <w:r w:rsidRPr="00B01D91">
        <w:rPr>
          <w:lang w:val="en-US"/>
        </w:rPr>
        <w:t xml:space="preserve">The war also had a profound effect on the province of Ulster. Here, unionist leaders accepted the proposal to divide Ireland, seeing this as the best means of preserving their place in the United Kingdom. </w:t>
      </w:r>
      <w:r w:rsidR="00DE03DC">
        <w:rPr>
          <w:lang w:val="en-US"/>
        </w:rPr>
        <w:t>[…]</w:t>
      </w:r>
    </w:p>
    <w:p w14:paraId="76170321" w14:textId="77777777" w:rsidR="00B01D91" w:rsidRPr="00B01D91" w:rsidRDefault="00B01D91" w:rsidP="00B01D91">
      <w:pPr>
        <w:rPr>
          <w:lang w:val="en-US"/>
        </w:rPr>
      </w:pPr>
      <w:r w:rsidRPr="00B01D91">
        <w:rPr>
          <w:lang w:val="en-US"/>
        </w:rPr>
        <w:t>Nationalists, for whom a united Ireland remained a key objective, resented this outcome. However, the IRA had only a limited capacity to take the fight into Ulster, with their freedom to operate curtailed by the largely hostile local population.</w:t>
      </w:r>
    </w:p>
    <w:p w14:paraId="6BDFF4CF" w14:textId="657F350F" w:rsidR="00B01D91" w:rsidRPr="00B01D91" w:rsidRDefault="00B01D91" w:rsidP="00B01D91">
      <w:pPr>
        <w:rPr>
          <w:lang w:val="en-US"/>
        </w:rPr>
      </w:pPr>
      <w:r w:rsidRPr="00B01D91">
        <w:rPr>
          <w:lang w:val="en-US"/>
        </w:rPr>
        <w:lastRenderedPageBreak/>
        <w:t>The IRA still made many targeted attacks on security personnel in Ulster, inducing the inevitable tit-for-tat reprisals. Ulster also saw much sectarian violence in the form of riots, civil unrest and people driven from their homes</w:t>
      </w:r>
      <w:r w:rsidR="00DE03DC">
        <w:rPr>
          <w:lang w:val="en-US"/>
        </w:rPr>
        <w:t xml:space="preserve"> [and jobs]</w:t>
      </w:r>
      <w:r w:rsidRPr="00B01D91">
        <w:rPr>
          <w:lang w:val="en-US"/>
        </w:rPr>
        <w:t xml:space="preserve">. </w:t>
      </w:r>
      <w:r w:rsidR="00DE03DC">
        <w:rPr>
          <w:lang w:val="en-US"/>
        </w:rPr>
        <w:t>[…]</w:t>
      </w:r>
    </w:p>
    <w:p w14:paraId="09BF91BA" w14:textId="77777777" w:rsidR="00B01D91" w:rsidRDefault="00B01D91" w:rsidP="00B01D91">
      <w:pPr>
        <w:rPr>
          <w:lang w:val="en-US"/>
        </w:rPr>
      </w:pPr>
      <w:r w:rsidRPr="00B01D91">
        <w:rPr>
          <w:lang w:val="en-US"/>
        </w:rPr>
        <w:t>Violence would continue in Ulster long after peace had returned in the south.</w:t>
      </w:r>
    </w:p>
    <w:p w14:paraId="29C66DB8" w14:textId="77777777" w:rsidR="00B01D91" w:rsidRPr="00B01D91" w:rsidRDefault="00B01D91" w:rsidP="00B01D91">
      <w:pPr>
        <w:rPr>
          <w:rStyle w:val="Strk"/>
          <w:sz w:val="28"/>
          <w:szCs w:val="28"/>
          <w:lang w:val="en-US"/>
        </w:rPr>
      </w:pPr>
      <w:r w:rsidRPr="00B01D91">
        <w:rPr>
          <w:rStyle w:val="Strk"/>
          <w:sz w:val="28"/>
          <w:szCs w:val="28"/>
          <w:lang w:val="en-US"/>
        </w:rPr>
        <w:t>Peace</w:t>
      </w:r>
    </w:p>
    <w:p w14:paraId="3C6BE6AA" w14:textId="77777777" w:rsidR="00B01D91" w:rsidRPr="00B01D91" w:rsidRDefault="00B01D91" w:rsidP="00B01D91">
      <w:pPr>
        <w:rPr>
          <w:lang w:val="en-US"/>
        </w:rPr>
      </w:pPr>
      <w:r w:rsidRPr="00B01D91">
        <w:rPr>
          <w:lang w:val="en-US"/>
        </w:rPr>
        <w:t>The growing British military and police effort in 1921 began to take a heavy toll on the IRA. Many of its men had been arrested and they remained desperately short of arms and ammunition. At the same time, the British were facing growing pressure at home to bring the conflict to an end and victory was still nowhere in sight.</w:t>
      </w:r>
    </w:p>
    <w:p w14:paraId="127CD1CA" w14:textId="77777777" w:rsidR="00B01D91" w:rsidRPr="00B01D91" w:rsidRDefault="00B01D91" w:rsidP="00B01D91">
      <w:pPr>
        <w:rPr>
          <w:lang w:val="en-US"/>
        </w:rPr>
      </w:pPr>
      <w:r w:rsidRPr="00B01D91">
        <w:rPr>
          <w:lang w:val="en-US"/>
        </w:rPr>
        <w:t>A truce was negotiated in July 1921, followed by the signing of a treaty on 6 December, which brought the conflict to a formal end. The following year, all British forces were withdrawn from southern Ireland.</w:t>
      </w:r>
    </w:p>
    <w:p w14:paraId="6B8A47FE" w14:textId="1BA134C1" w:rsidR="00A56273" w:rsidRPr="00B01D91" w:rsidRDefault="00B01D91" w:rsidP="00B01D91">
      <w:pPr>
        <w:rPr>
          <w:lang w:val="en-US"/>
        </w:rPr>
      </w:pPr>
      <w:r w:rsidRPr="00B01D91">
        <w:rPr>
          <w:lang w:val="en-US"/>
        </w:rPr>
        <w:t>The war had cost around 1,400 lives, including more than 600 members of the British security forces and over 700 civilians and members of the IRA.</w:t>
      </w:r>
    </w:p>
    <w:p w14:paraId="154AE831" w14:textId="77777777" w:rsidR="00B01D91" w:rsidRPr="00B01D91" w:rsidRDefault="00B01D91" w:rsidP="00B01D91">
      <w:pPr>
        <w:rPr>
          <w:rStyle w:val="Strk"/>
          <w:sz w:val="28"/>
          <w:szCs w:val="28"/>
          <w:lang w:val="en-US"/>
        </w:rPr>
      </w:pPr>
      <w:r w:rsidRPr="00B01D91">
        <w:rPr>
          <w:rStyle w:val="Strk"/>
          <w:sz w:val="28"/>
          <w:szCs w:val="28"/>
          <w:lang w:val="en-US"/>
        </w:rPr>
        <w:t>Legacy</w:t>
      </w:r>
    </w:p>
    <w:p w14:paraId="75BA6B7A" w14:textId="77777777" w:rsidR="00B01D91" w:rsidRPr="00B01D91" w:rsidRDefault="00B01D91" w:rsidP="00B01D91">
      <w:pPr>
        <w:rPr>
          <w:lang w:val="en-US"/>
        </w:rPr>
      </w:pPr>
      <w:r w:rsidRPr="00B01D91">
        <w:rPr>
          <w:lang w:val="en-US"/>
        </w:rPr>
        <w:t>The peace treaty finally achieved the core nationalist aim of creating a self-governing Ireland, which came into existence in 1922 as the Irish Free State. However, it fell short of delivering full republic status, which many felt was their goal. It also resulted in the country's partition, with six counties of Ulster forming Northern Ireland and remaining part of the United Kingdom.</w:t>
      </w:r>
    </w:p>
    <w:p w14:paraId="0BBA12B2" w14:textId="77777777" w:rsidR="00B01D91" w:rsidRPr="00B01D91" w:rsidRDefault="00B01D91" w:rsidP="00B01D91">
      <w:pPr>
        <w:rPr>
          <w:lang w:val="en-US"/>
        </w:rPr>
      </w:pPr>
      <w:r w:rsidRPr="00B01D91">
        <w:rPr>
          <w:lang w:val="en-US"/>
        </w:rPr>
        <w:t>The disagreements immediately plunged the Free State into a bitter civil war between those who supported the treaty and those who opposed it. This conflict witnessed the assassination of Michael Collins, the man held responsible for the agreed terms, but ultimately ended in victory for the pro-treaty side.</w:t>
      </w:r>
    </w:p>
    <w:p w14:paraId="7C6BF560" w14:textId="77777777" w:rsidR="00B01D91" w:rsidRPr="00B01D91" w:rsidRDefault="00B01D91" w:rsidP="00B01D91">
      <w:pPr>
        <w:rPr>
          <w:lang w:val="en-US"/>
        </w:rPr>
      </w:pPr>
      <w:r w:rsidRPr="00B01D91">
        <w:rPr>
          <w:lang w:val="en-US"/>
        </w:rPr>
        <w:t>Over the following decades, the Irish Free State made further strides towards full independence, eventually becoming the Republic of Ireland in 1949. However, tensions and difficulties resulting from partition continued to beset the British Isles.</w:t>
      </w:r>
    </w:p>
    <w:p w14:paraId="54B1655A" w14:textId="77777777" w:rsidR="00B01D91" w:rsidRPr="00B01D91" w:rsidRDefault="00B01D91" w:rsidP="00B01D91">
      <w:pPr>
        <w:rPr>
          <w:lang w:val="en-US"/>
        </w:rPr>
      </w:pPr>
      <w:r w:rsidRPr="00B01D91">
        <w:rPr>
          <w:lang w:val="en-US"/>
        </w:rPr>
        <w:t>A further era of civil strife, sectarian violence and terrorism, known as </w:t>
      </w:r>
      <w:hyperlink r:id="rId17" w:history="1">
        <w:r w:rsidRPr="00B01D91">
          <w:rPr>
            <w:rStyle w:val="Hyperlink"/>
            <w:lang w:val="en-US"/>
          </w:rPr>
          <w:t>'The Troubles</w:t>
        </w:r>
      </w:hyperlink>
      <w:r w:rsidRPr="00B01D91">
        <w:rPr>
          <w:lang w:val="en-US"/>
        </w:rPr>
        <w:t>', erupted in 1969 and endured for decades. The Good Friday Agreement of 1998 brought an end to much of the violence, but the political differences continue to this day.</w:t>
      </w:r>
    </w:p>
    <w:p w14:paraId="3E9A3885" w14:textId="5FB6B2F1" w:rsidR="00B01D91" w:rsidRPr="00B01D91" w:rsidRDefault="00B01D91" w:rsidP="00B01D91">
      <w:pPr>
        <w:rPr>
          <w:lang w:val="en-US"/>
        </w:rPr>
      </w:pPr>
      <w:r>
        <w:rPr>
          <w:noProof/>
        </w:rPr>
        <w:lastRenderedPageBreak/>
        <w:drawing>
          <wp:inline distT="0" distB="0" distL="0" distR="0" wp14:anchorId="0F860B99" wp14:editId="6A675220">
            <wp:extent cx="3991538" cy="3193065"/>
            <wp:effectExtent l="0" t="0" r="9525" b="7620"/>
            <wp:docPr id="689208069" name="Billede 8" descr="'Irishmen Avenge Irish Dead', Londonderry, Northern Ireland,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rishmen Avenge Irish Dead', Londonderry, Northern Ireland, 19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2080" cy="3201499"/>
                    </a:xfrm>
                    <a:prstGeom prst="rect">
                      <a:avLst/>
                    </a:prstGeom>
                    <a:noFill/>
                    <a:ln>
                      <a:noFill/>
                    </a:ln>
                  </pic:spPr>
                </pic:pic>
              </a:graphicData>
            </a:graphic>
          </wp:inline>
        </w:drawing>
      </w:r>
    </w:p>
    <w:p w14:paraId="11D3F583" w14:textId="5678F158" w:rsidR="00B01D91" w:rsidRPr="00DE03DC" w:rsidRDefault="00B01D91">
      <w:pPr>
        <w:rPr>
          <w:i/>
          <w:iCs/>
          <w:lang w:val="en-US"/>
        </w:rPr>
      </w:pPr>
      <w:r w:rsidRPr="00DE03DC">
        <w:rPr>
          <w:i/>
          <w:iCs/>
          <w:lang w:val="en-US"/>
        </w:rPr>
        <w:t>'Irishmen Avenge Irish Dead', Londonderry, Northern Ireland, 1975</w:t>
      </w:r>
    </w:p>
    <w:sectPr w:rsidR="00B01D91" w:rsidRPr="00DE03DC">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2F35B" w14:textId="77777777" w:rsidR="00CC7104" w:rsidRDefault="00CC7104" w:rsidP="00010F00">
      <w:pPr>
        <w:spacing w:after="0" w:line="240" w:lineRule="auto"/>
      </w:pPr>
      <w:r>
        <w:separator/>
      </w:r>
    </w:p>
  </w:endnote>
  <w:endnote w:type="continuationSeparator" w:id="0">
    <w:p w14:paraId="217DD39C" w14:textId="77777777" w:rsidR="00CC7104" w:rsidRDefault="00CC7104" w:rsidP="00010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B8F8A" w14:textId="77777777" w:rsidR="00CC7104" w:rsidRDefault="00CC7104" w:rsidP="00010F00">
      <w:pPr>
        <w:spacing w:after="0" w:line="240" w:lineRule="auto"/>
      </w:pPr>
      <w:r>
        <w:separator/>
      </w:r>
    </w:p>
  </w:footnote>
  <w:footnote w:type="continuationSeparator" w:id="0">
    <w:p w14:paraId="0E061F12" w14:textId="77777777" w:rsidR="00CC7104" w:rsidRDefault="00CC7104" w:rsidP="00010F00">
      <w:pPr>
        <w:spacing w:after="0" w:line="240" w:lineRule="auto"/>
      </w:pPr>
      <w:r>
        <w:continuationSeparator/>
      </w:r>
    </w:p>
  </w:footnote>
  <w:footnote w:id="1">
    <w:p w14:paraId="6A965924" w14:textId="7DACBFEA" w:rsidR="00010F00" w:rsidRPr="00010F00" w:rsidRDefault="00010F00">
      <w:pPr>
        <w:pStyle w:val="Fodnotetekst"/>
        <w:rPr>
          <w:lang w:val="en-US"/>
        </w:rPr>
      </w:pPr>
      <w:r>
        <w:rPr>
          <w:rStyle w:val="Fodnotehenvisning"/>
        </w:rPr>
        <w:footnoteRef/>
      </w:r>
      <w:r w:rsidRPr="00010F00">
        <w:rPr>
          <w:lang w:val="en-US"/>
        </w:rPr>
        <w:t xml:space="preserve"> Transfer of </w:t>
      </w:r>
      <w:r>
        <w:rPr>
          <w:lang w:val="en-US"/>
        </w:rPr>
        <w:t xml:space="preserve">political </w:t>
      </w:r>
      <w:r w:rsidRPr="00010F00">
        <w:rPr>
          <w:lang w:val="en-US"/>
        </w:rPr>
        <w:t>power from London</w:t>
      </w:r>
      <w:r>
        <w:rPr>
          <w:lang w:val="en-US"/>
        </w:rPr>
        <w:t>/</w:t>
      </w:r>
      <w:r w:rsidR="00DE03DC">
        <w:rPr>
          <w:lang w:val="en-US"/>
        </w:rPr>
        <w:t>Westminster</w:t>
      </w:r>
      <w:r w:rsidRPr="00010F00">
        <w:rPr>
          <w:lang w:val="en-US"/>
        </w:rPr>
        <w:t xml:space="preserve"> t</w:t>
      </w:r>
      <w:r>
        <w:rPr>
          <w:lang w:val="en-US"/>
        </w:rPr>
        <w:t>o Dublin/Ireland</w:t>
      </w:r>
    </w:p>
  </w:footnote>
  <w:footnote w:id="2">
    <w:p w14:paraId="2F166737" w14:textId="79E1D27A" w:rsidR="00010F00" w:rsidRPr="00D319E8" w:rsidRDefault="00010F00">
      <w:pPr>
        <w:pStyle w:val="Fodnotetekst"/>
        <w:rPr>
          <w:lang w:val="en-US"/>
        </w:rPr>
      </w:pPr>
      <w:r>
        <w:rPr>
          <w:rStyle w:val="Fodnotehenvisning"/>
        </w:rPr>
        <w:footnoteRef/>
      </w:r>
      <w:r w:rsidRPr="00D319E8">
        <w:rPr>
          <w:lang w:val="en-US"/>
        </w:rPr>
        <w:t xml:space="preserve"> Irish Republican Brotherhood</w:t>
      </w:r>
    </w:p>
  </w:footnote>
  <w:footnote w:id="3">
    <w:p w14:paraId="4FAC1800" w14:textId="0AD2E453" w:rsidR="00DE03DC" w:rsidRPr="00D319E8" w:rsidRDefault="00DE03DC">
      <w:pPr>
        <w:pStyle w:val="Fodnotetekst"/>
        <w:rPr>
          <w:lang w:val="en-US"/>
        </w:rPr>
      </w:pPr>
      <w:r>
        <w:rPr>
          <w:rStyle w:val="Fodnotehenvisning"/>
        </w:rPr>
        <w:footnoteRef/>
      </w:r>
      <w:r w:rsidRPr="00D319E8">
        <w:rPr>
          <w:lang w:val="en-US"/>
        </w:rPr>
        <w:t xml:space="preserve"> The police force in Ireland</w:t>
      </w:r>
    </w:p>
  </w:footnote>
  <w:footnote w:id="4">
    <w:p w14:paraId="6A4E1AE2" w14:textId="5835A3B8" w:rsidR="00C4179F" w:rsidRPr="00C4179F" w:rsidRDefault="00C4179F">
      <w:pPr>
        <w:pStyle w:val="Fodnotetekst"/>
        <w:rPr>
          <w:lang w:val="en-US"/>
        </w:rPr>
      </w:pPr>
      <w:r>
        <w:rPr>
          <w:rStyle w:val="Fodnotehenvisning"/>
        </w:rPr>
        <w:footnoteRef/>
      </w:r>
      <w:r w:rsidRPr="00C4179F">
        <w:rPr>
          <w:lang w:val="en-US"/>
        </w:rPr>
        <w:t xml:space="preserve"> Michael Collins, director of intelligence o</w:t>
      </w:r>
      <w:r>
        <w:rPr>
          <w:lang w:val="en-US"/>
        </w:rPr>
        <w:t>f the IRA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9C59C2"/>
    <w:multiLevelType w:val="hybridMultilevel"/>
    <w:tmpl w:val="49EC78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69916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7F3"/>
    <w:rsid w:val="00010F00"/>
    <w:rsid w:val="000A4DC0"/>
    <w:rsid w:val="001A6A76"/>
    <w:rsid w:val="0035475B"/>
    <w:rsid w:val="003C4780"/>
    <w:rsid w:val="00453231"/>
    <w:rsid w:val="004F3F50"/>
    <w:rsid w:val="00736BA4"/>
    <w:rsid w:val="00763FD1"/>
    <w:rsid w:val="007D003D"/>
    <w:rsid w:val="008A22A9"/>
    <w:rsid w:val="00A56273"/>
    <w:rsid w:val="00B01D91"/>
    <w:rsid w:val="00B75AC2"/>
    <w:rsid w:val="00BD212D"/>
    <w:rsid w:val="00C4179F"/>
    <w:rsid w:val="00CC7104"/>
    <w:rsid w:val="00CD7B34"/>
    <w:rsid w:val="00D277F3"/>
    <w:rsid w:val="00D319E8"/>
    <w:rsid w:val="00D520F0"/>
    <w:rsid w:val="00DE03DC"/>
    <w:rsid w:val="00E8293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F4414"/>
  <w15:chartTrackingRefBased/>
  <w15:docId w15:val="{3DB50E25-DCDD-453D-A37B-CDB12C56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277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277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277F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277F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277F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277F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277F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277F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277F3"/>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277F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D277F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D277F3"/>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D277F3"/>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D277F3"/>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D277F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D277F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D277F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D277F3"/>
    <w:rPr>
      <w:rFonts w:eastAsiaTheme="majorEastAsia" w:cstheme="majorBidi"/>
      <w:color w:val="272727" w:themeColor="text1" w:themeTint="D8"/>
    </w:rPr>
  </w:style>
  <w:style w:type="paragraph" w:styleId="Titel">
    <w:name w:val="Title"/>
    <w:basedOn w:val="Normal"/>
    <w:next w:val="Normal"/>
    <w:link w:val="TitelTegn"/>
    <w:uiPriority w:val="10"/>
    <w:qFormat/>
    <w:rsid w:val="00D277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277F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277F3"/>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277F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D277F3"/>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277F3"/>
    <w:rPr>
      <w:i/>
      <w:iCs/>
      <w:color w:val="404040" w:themeColor="text1" w:themeTint="BF"/>
    </w:rPr>
  </w:style>
  <w:style w:type="paragraph" w:styleId="Listeafsnit">
    <w:name w:val="List Paragraph"/>
    <w:basedOn w:val="Normal"/>
    <w:uiPriority w:val="34"/>
    <w:qFormat/>
    <w:rsid w:val="00D277F3"/>
    <w:pPr>
      <w:ind w:left="720"/>
      <w:contextualSpacing/>
    </w:pPr>
  </w:style>
  <w:style w:type="character" w:styleId="Kraftigfremhvning">
    <w:name w:val="Intense Emphasis"/>
    <w:basedOn w:val="Standardskrifttypeiafsnit"/>
    <w:uiPriority w:val="21"/>
    <w:qFormat/>
    <w:rsid w:val="00D277F3"/>
    <w:rPr>
      <w:i/>
      <w:iCs/>
      <w:color w:val="0F4761" w:themeColor="accent1" w:themeShade="BF"/>
    </w:rPr>
  </w:style>
  <w:style w:type="paragraph" w:styleId="Strktcitat">
    <w:name w:val="Intense Quote"/>
    <w:basedOn w:val="Normal"/>
    <w:next w:val="Normal"/>
    <w:link w:val="StrktcitatTegn"/>
    <w:uiPriority w:val="30"/>
    <w:qFormat/>
    <w:rsid w:val="00D277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D277F3"/>
    <w:rPr>
      <w:i/>
      <w:iCs/>
      <w:color w:val="0F4761" w:themeColor="accent1" w:themeShade="BF"/>
    </w:rPr>
  </w:style>
  <w:style w:type="character" w:styleId="Kraftighenvisning">
    <w:name w:val="Intense Reference"/>
    <w:basedOn w:val="Standardskrifttypeiafsnit"/>
    <w:uiPriority w:val="32"/>
    <w:qFormat/>
    <w:rsid w:val="00D277F3"/>
    <w:rPr>
      <w:b/>
      <w:bCs/>
      <w:smallCaps/>
      <w:color w:val="0F4761" w:themeColor="accent1" w:themeShade="BF"/>
      <w:spacing w:val="5"/>
    </w:rPr>
  </w:style>
  <w:style w:type="character" w:styleId="Hyperlink">
    <w:name w:val="Hyperlink"/>
    <w:basedOn w:val="Standardskrifttypeiafsnit"/>
    <w:uiPriority w:val="99"/>
    <w:unhideWhenUsed/>
    <w:rsid w:val="00D277F3"/>
    <w:rPr>
      <w:color w:val="467886" w:themeColor="hyperlink"/>
      <w:u w:val="single"/>
    </w:rPr>
  </w:style>
  <w:style w:type="character" w:styleId="Ulstomtale">
    <w:name w:val="Unresolved Mention"/>
    <w:basedOn w:val="Standardskrifttypeiafsnit"/>
    <w:uiPriority w:val="99"/>
    <w:semiHidden/>
    <w:unhideWhenUsed/>
    <w:rsid w:val="00D277F3"/>
    <w:rPr>
      <w:color w:val="605E5C"/>
      <w:shd w:val="clear" w:color="auto" w:fill="E1DFDD"/>
    </w:rPr>
  </w:style>
  <w:style w:type="character" w:styleId="BesgtLink">
    <w:name w:val="FollowedHyperlink"/>
    <w:basedOn w:val="Standardskrifttypeiafsnit"/>
    <w:uiPriority w:val="99"/>
    <w:semiHidden/>
    <w:unhideWhenUsed/>
    <w:rsid w:val="00763FD1"/>
    <w:rPr>
      <w:color w:val="96607D" w:themeColor="followedHyperlink"/>
      <w:u w:val="single"/>
    </w:rPr>
  </w:style>
  <w:style w:type="character" w:styleId="Strk">
    <w:name w:val="Strong"/>
    <w:basedOn w:val="Standardskrifttypeiafsnit"/>
    <w:uiPriority w:val="22"/>
    <w:qFormat/>
    <w:rsid w:val="00010F00"/>
    <w:rPr>
      <w:b/>
      <w:bCs/>
    </w:rPr>
  </w:style>
  <w:style w:type="paragraph" w:styleId="Fodnotetekst">
    <w:name w:val="footnote text"/>
    <w:basedOn w:val="Normal"/>
    <w:link w:val="FodnotetekstTegn"/>
    <w:uiPriority w:val="99"/>
    <w:semiHidden/>
    <w:unhideWhenUsed/>
    <w:rsid w:val="00010F00"/>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010F00"/>
    <w:rPr>
      <w:sz w:val="20"/>
      <w:szCs w:val="20"/>
    </w:rPr>
  </w:style>
  <w:style w:type="character" w:styleId="Fodnotehenvisning">
    <w:name w:val="footnote reference"/>
    <w:basedOn w:val="Standardskrifttypeiafsnit"/>
    <w:uiPriority w:val="99"/>
    <w:semiHidden/>
    <w:unhideWhenUsed/>
    <w:rsid w:val="00010F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6128">
      <w:bodyDiv w:val="1"/>
      <w:marLeft w:val="0"/>
      <w:marRight w:val="0"/>
      <w:marTop w:val="0"/>
      <w:marBottom w:val="0"/>
      <w:divBdr>
        <w:top w:val="none" w:sz="0" w:space="0" w:color="auto"/>
        <w:left w:val="none" w:sz="0" w:space="0" w:color="auto"/>
        <w:bottom w:val="none" w:sz="0" w:space="0" w:color="auto"/>
        <w:right w:val="none" w:sz="0" w:space="0" w:color="auto"/>
      </w:divBdr>
      <w:divsChild>
        <w:div w:id="601375088">
          <w:marLeft w:val="0"/>
          <w:marRight w:val="0"/>
          <w:marTop w:val="0"/>
          <w:marBottom w:val="0"/>
          <w:divBdr>
            <w:top w:val="none" w:sz="0" w:space="0" w:color="auto"/>
            <w:left w:val="none" w:sz="0" w:space="0" w:color="auto"/>
            <w:bottom w:val="none" w:sz="0" w:space="0" w:color="auto"/>
            <w:right w:val="none" w:sz="0" w:space="0" w:color="auto"/>
          </w:divBdr>
        </w:div>
        <w:div w:id="1643347320">
          <w:marLeft w:val="0"/>
          <w:marRight w:val="75"/>
          <w:marTop w:val="0"/>
          <w:marBottom w:val="0"/>
          <w:divBdr>
            <w:top w:val="none" w:sz="0" w:space="0" w:color="auto"/>
            <w:left w:val="none" w:sz="0" w:space="0" w:color="auto"/>
            <w:bottom w:val="none" w:sz="0" w:space="0" w:color="auto"/>
            <w:right w:val="none" w:sz="0" w:space="0" w:color="auto"/>
          </w:divBdr>
          <w:divsChild>
            <w:div w:id="283318716">
              <w:marLeft w:val="0"/>
              <w:marRight w:val="0"/>
              <w:marTop w:val="0"/>
              <w:marBottom w:val="0"/>
              <w:divBdr>
                <w:top w:val="none" w:sz="0" w:space="0" w:color="auto"/>
                <w:left w:val="none" w:sz="0" w:space="0" w:color="auto"/>
                <w:bottom w:val="none" w:sz="0" w:space="0" w:color="auto"/>
                <w:right w:val="none" w:sz="0" w:space="0" w:color="auto"/>
              </w:divBdr>
            </w:div>
            <w:div w:id="127501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010">
      <w:bodyDiv w:val="1"/>
      <w:marLeft w:val="0"/>
      <w:marRight w:val="0"/>
      <w:marTop w:val="0"/>
      <w:marBottom w:val="0"/>
      <w:divBdr>
        <w:top w:val="none" w:sz="0" w:space="0" w:color="auto"/>
        <w:left w:val="none" w:sz="0" w:space="0" w:color="auto"/>
        <w:bottom w:val="none" w:sz="0" w:space="0" w:color="auto"/>
        <w:right w:val="none" w:sz="0" w:space="0" w:color="auto"/>
      </w:divBdr>
      <w:divsChild>
        <w:div w:id="1243028960">
          <w:marLeft w:val="0"/>
          <w:marRight w:val="0"/>
          <w:marTop w:val="0"/>
          <w:marBottom w:val="0"/>
          <w:divBdr>
            <w:top w:val="none" w:sz="0" w:space="0" w:color="auto"/>
            <w:left w:val="none" w:sz="0" w:space="0" w:color="auto"/>
            <w:bottom w:val="none" w:sz="0" w:space="0" w:color="auto"/>
            <w:right w:val="none" w:sz="0" w:space="0" w:color="auto"/>
          </w:divBdr>
          <w:divsChild>
            <w:div w:id="2052918605">
              <w:marLeft w:val="0"/>
              <w:marRight w:val="0"/>
              <w:marTop w:val="0"/>
              <w:marBottom w:val="0"/>
              <w:divBdr>
                <w:top w:val="none" w:sz="0" w:space="0" w:color="auto"/>
                <w:left w:val="none" w:sz="0" w:space="0" w:color="auto"/>
                <w:bottom w:val="none" w:sz="0" w:space="0" w:color="auto"/>
                <w:right w:val="none" w:sz="0" w:space="0" w:color="auto"/>
              </w:divBdr>
            </w:div>
          </w:divsChild>
        </w:div>
        <w:div w:id="546452050">
          <w:marLeft w:val="-15"/>
          <w:marRight w:val="60"/>
          <w:marTop w:val="0"/>
          <w:marBottom w:val="0"/>
          <w:divBdr>
            <w:top w:val="none" w:sz="0" w:space="0" w:color="auto"/>
            <w:left w:val="none" w:sz="0" w:space="0" w:color="auto"/>
            <w:bottom w:val="none" w:sz="0" w:space="0" w:color="auto"/>
            <w:right w:val="none" w:sz="0" w:space="0" w:color="auto"/>
          </w:divBdr>
          <w:divsChild>
            <w:div w:id="4305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4052">
      <w:bodyDiv w:val="1"/>
      <w:marLeft w:val="0"/>
      <w:marRight w:val="0"/>
      <w:marTop w:val="0"/>
      <w:marBottom w:val="0"/>
      <w:divBdr>
        <w:top w:val="none" w:sz="0" w:space="0" w:color="auto"/>
        <w:left w:val="none" w:sz="0" w:space="0" w:color="auto"/>
        <w:bottom w:val="none" w:sz="0" w:space="0" w:color="auto"/>
        <w:right w:val="none" w:sz="0" w:space="0" w:color="auto"/>
      </w:divBdr>
    </w:div>
    <w:div w:id="281230176">
      <w:bodyDiv w:val="1"/>
      <w:marLeft w:val="0"/>
      <w:marRight w:val="0"/>
      <w:marTop w:val="0"/>
      <w:marBottom w:val="0"/>
      <w:divBdr>
        <w:top w:val="none" w:sz="0" w:space="0" w:color="auto"/>
        <w:left w:val="none" w:sz="0" w:space="0" w:color="auto"/>
        <w:bottom w:val="none" w:sz="0" w:space="0" w:color="auto"/>
        <w:right w:val="none" w:sz="0" w:space="0" w:color="auto"/>
      </w:divBdr>
    </w:div>
    <w:div w:id="283007307">
      <w:bodyDiv w:val="1"/>
      <w:marLeft w:val="0"/>
      <w:marRight w:val="0"/>
      <w:marTop w:val="0"/>
      <w:marBottom w:val="0"/>
      <w:divBdr>
        <w:top w:val="none" w:sz="0" w:space="0" w:color="auto"/>
        <w:left w:val="none" w:sz="0" w:space="0" w:color="auto"/>
        <w:bottom w:val="none" w:sz="0" w:space="0" w:color="auto"/>
        <w:right w:val="none" w:sz="0" w:space="0" w:color="auto"/>
      </w:divBdr>
    </w:div>
    <w:div w:id="393741251">
      <w:bodyDiv w:val="1"/>
      <w:marLeft w:val="0"/>
      <w:marRight w:val="0"/>
      <w:marTop w:val="0"/>
      <w:marBottom w:val="0"/>
      <w:divBdr>
        <w:top w:val="none" w:sz="0" w:space="0" w:color="auto"/>
        <w:left w:val="none" w:sz="0" w:space="0" w:color="auto"/>
        <w:bottom w:val="none" w:sz="0" w:space="0" w:color="auto"/>
        <w:right w:val="none" w:sz="0" w:space="0" w:color="auto"/>
      </w:divBdr>
    </w:div>
    <w:div w:id="397872524">
      <w:bodyDiv w:val="1"/>
      <w:marLeft w:val="0"/>
      <w:marRight w:val="0"/>
      <w:marTop w:val="0"/>
      <w:marBottom w:val="0"/>
      <w:divBdr>
        <w:top w:val="none" w:sz="0" w:space="0" w:color="auto"/>
        <w:left w:val="none" w:sz="0" w:space="0" w:color="auto"/>
        <w:bottom w:val="none" w:sz="0" w:space="0" w:color="auto"/>
        <w:right w:val="none" w:sz="0" w:space="0" w:color="auto"/>
      </w:divBdr>
    </w:div>
    <w:div w:id="411439058">
      <w:bodyDiv w:val="1"/>
      <w:marLeft w:val="0"/>
      <w:marRight w:val="0"/>
      <w:marTop w:val="0"/>
      <w:marBottom w:val="0"/>
      <w:divBdr>
        <w:top w:val="none" w:sz="0" w:space="0" w:color="auto"/>
        <w:left w:val="none" w:sz="0" w:space="0" w:color="auto"/>
        <w:bottom w:val="none" w:sz="0" w:space="0" w:color="auto"/>
        <w:right w:val="none" w:sz="0" w:space="0" w:color="auto"/>
      </w:divBdr>
    </w:div>
    <w:div w:id="529033663">
      <w:bodyDiv w:val="1"/>
      <w:marLeft w:val="0"/>
      <w:marRight w:val="0"/>
      <w:marTop w:val="0"/>
      <w:marBottom w:val="0"/>
      <w:divBdr>
        <w:top w:val="none" w:sz="0" w:space="0" w:color="auto"/>
        <w:left w:val="none" w:sz="0" w:space="0" w:color="auto"/>
        <w:bottom w:val="none" w:sz="0" w:space="0" w:color="auto"/>
        <w:right w:val="none" w:sz="0" w:space="0" w:color="auto"/>
      </w:divBdr>
    </w:div>
    <w:div w:id="546188487">
      <w:bodyDiv w:val="1"/>
      <w:marLeft w:val="0"/>
      <w:marRight w:val="0"/>
      <w:marTop w:val="0"/>
      <w:marBottom w:val="0"/>
      <w:divBdr>
        <w:top w:val="none" w:sz="0" w:space="0" w:color="auto"/>
        <w:left w:val="none" w:sz="0" w:space="0" w:color="auto"/>
        <w:bottom w:val="none" w:sz="0" w:space="0" w:color="auto"/>
        <w:right w:val="none" w:sz="0" w:space="0" w:color="auto"/>
      </w:divBdr>
    </w:div>
    <w:div w:id="585304544">
      <w:bodyDiv w:val="1"/>
      <w:marLeft w:val="0"/>
      <w:marRight w:val="0"/>
      <w:marTop w:val="0"/>
      <w:marBottom w:val="0"/>
      <w:divBdr>
        <w:top w:val="none" w:sz="0" w:space="0" w:color="auto"/>
        <w:left w:val="none" w:sz="0" w:space="0" w:color="auto"/>
        <w:bottom w:val="none" w:sz="0" w:space="0" w:color="auto"/>
        <w:right w:val="none" w:sz="0" w:space="0" w:color="auto"/>
      </w:divBdr>
    </w:div>
    <w:div w:id="754591985">
      <w:bodyDiv w:val="1"/>
      <w:marLeft w:val="0"/>
      <w:marRight w:val="0"/>
      <w:marTop w:val="0"/>
      <w:marBottom w:val="0"/>
      <w:divBdr>
        <w:top w:val="none" w:sz="0" w:space="0" w:color="auto"/>
        <w:left w:val="none" w:sz="0" w:space="0" w:color="auto"/>
        <w:bottom w:val="none" w:sz="0" w:space="0" w:color="auto"/>
        <w:right w:val="none" w:sz="0" w:space="0" w:color="auto"/>
      </w:divBdr>
    </w:div>
    <w:div w:id="817576556">
      <w:bodyDiv w:val="1"/>
      <w:marLeft w:val="0"/>
      <w:marRight w:val="0"/>
      <w:marTop w:val="0"/>
      <w:marBottom w:val="0"/>
      <w:divBdr>
        <w:top w:val="none" w:sz="0" w:space="0" w:color="auto"/>
        <w:left w:val="none" w:sz="0" w:space="0" w:color="auto"/>
        <w:bottom w:val="none" w:sz="0" w:space="0" w:color="auto"/>
        <w:right w:val="none" w:sz="0" w:space="0" w:color="auto"/>
      </w:divBdr>
    </w:div>
    <w:div w:id="823544775">
      <w:bodyDiv w:val="1"/>
      <w:marLeft w:val="0"/>
      <w:marRight w:val="0"/>
      <w:marTop w:val="0"/>
      <w:marBottom w:val="0"/>
      <w:divBdr>
        <w:top w:val="none" w:sz="0" w:space="0" w:color="auto"/>
        <w:left w:val="none" w:sz="0" w:space="0" w:color="auto"/>
        <w:bottom w:val="none" w:sz="0" w:space="0" w:color="auto"/>
        <w:right w:val="none" w:sz="0" w:space="0" w:color="auto"/>
      </w:divBdr>
      <w:divsChild>
        <w:div w:id="1923445684">
          <w:marLeft w:val="0"/>
          <w:marRight w:val="0"/>
          <w:marTop w:val="0"/>
          <w:marBottom w:val="0"/>
          <w:divBdr>
            <w:top w:val="none" w:sz="0" w:space="0" w:color="auto"/>
            <w:left w:val="none" w:sz="0" w:space="0" w:color="auto"/>
            <w:bottom w:val="none" w:sz="0" w:space="0" w:color="auto"/>
            <w:right w:val="none" w:sz="0" w:space="0" w:color="auto"/>
          </w:divBdr>
          <w:divsChild>
            <w:div w:id="1047879469">
              <w:marLeft w:val="0"/>
              <w:marRight w:val="0"/>
              <w:marTop w:val="0"/>
              <w:marBottom w:val="0"/>
              <w:divBdr>
                <w:top w:val="none" w:sz="0" w:space="0" w:color="auto"/>
                <w:left w:val="none" w:sz="0" w:space="0" w:color="auto"/>
                <w:bottom w:val="none" w:sz="0" w:space="0" w:color="auto"/>
                <w:right w:val="none" w:sz="0" w:space="0" w:color="auto"/>
              </w:divBdr>
            </w:div>
          </w:divsChild>
        </w:div>
        <w:div w:id="519971006">
          <w:marLeft w:val="-15"/>
          <w:marRight w:val="60"/>
          <w:marTop w:val="0"/>
          <w:marBottom w:val="0"/>
          <w:divBdr>
            <w:top w:val="none" w:sz="0" w:space="0" w:color="auto"/>
            <w:left w:val="none" w:sz="0" w:space="0" w:color="auto"/>
            <w:bottom w:val="none" w:sz="0" w:space="0" w:color="auto"/>
            <w:right w:val="none" w:sz="0" w:space="0" w:color="auto"/>
          </w:divBdr>
          <w:divsChild>
            <w:div w:id="20636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58411">
      <w:bodyDiv w:val="1"/>
      <w:marLeft w:val="0"/>
      <w:marRight w:val="0"/>
      <w:marTop w:val="0"/>
      <w:marBottom w:val="0"/>
      <w:divBdr>
        <w:top w:val="none" w:sz="0" w:space="0" w:color="auto"/>
        <w:left w:val="none" w:sz="0" w:space="0" w:color="auto"/>
        <w:bottom w:val="none" w:sz="0" w:space="0" w:color="auto"/>
        <w:right w:val="none" w:sz="0" w:space="0" w:color="auto"/>
      </w:divBdr>
    </w:div>
    <w:div w:id="944658698">
      <w:bodyDiv w:val="1"/>
      <w:marLeft w:val="0"/>
      <w:marRight w:val="0"/>
      <w:marTop w:val="0"/>
      <w:marBottom w:val="0"/>
      <w:divBdr>
        <w:top w:val="none" w:sz="0" w:space="0" w:color="auto"/>
        <w:left w:val="none" w:sz="0" w:space="0" w:color="auto"/>
        <w:bottom w:val="none" w:sz="0" w:space="0" w:color="auto"/>
        <w:right w:val="none" w:sz="0" w:space="0" w:color="auto"/>
      </w:divBdr>
    </w:div>
    <w:div w:id="947660200">
      <w:bodyDiv w:val="1"/>
      <w:marLeft w:val="0"/>
      <w:marRight w:val="0"/>
      <w:marTop w:val="0"/>
      <w:marBottom w:val="0"/>
      <w:divBdr>
        <w:top w:val="none" w:sz="0" w:space="0" w:color="auto"/>
        <w:left w:val="none" w:sz="0" w:space="0" w:color="auto"/>
        <w:bottom w:val="none" w:sz="0" w:space="0" w:color="auto"/>
        <w:right w:val="none" w:sz="0" w:space="0" w:color="auto"/>
      </w:divBdr>
      <w:divsChild>
        <w:div w:id="302851259">
          <w:marLeft w:val="2862"/>
          <w:marRight w:val="0"/>
          <w:marTop w:val="0"/>
          <w:marBottom w:val="750"/>
          <w:divBdr>
            <w:top w:val="none" w:sz="0" w:space="0" w:color="auto"/>
            <w:left w:val="none" w:sz="0" w:space="0" w:color="auto"/>
            <w:bottom w:val="none" w:sz="0" w:space="0" w:color="auto"/>
            <w:right w:val="none" w:sz="0" w:space="0" w:color="auto"/>
          </w:divBdr>
          <w:divsChild>
            <w:div w:id="773016165">
              <w:marLeft w:val="0"/>
              <w:marRight w:val="0"/>
              <w:marTop w:val="0"/>
              <w:marBottom w:val="0"/>
              <w:divBdr>
                <w:top w:val="none" w:sz="0" w:space="0" w:color="auto"/>
                <w:left w:val="none" w:sz="0" w:space="0" w:color="auto"/>
                <w:bottom w:val="none" w:sz="0" w:space="0" w:color="auto"/>
                <w:right w:val="none" w:sz="0" w:space="0" w:color="auto"/>
              </w:divBdr>
              <w:divsChild>
                <w:div w:id="234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74353">
          <w:marLeft w:val="2862"/>
          <w:marRight w:val="0"/>
          <w:marTop w:val="0"/>
          <w:marBottom w:val="750"/>
          <w:divBdr>
            <w:top w:val="none" w:sz="0" w:space="0" w:color="auto"/>
            <w:left w:val="none" w:sz="0" w:space="0" w:color="auto"/>
            <w:bottom w:val="none" w:sz="0" w:space="0" w:color="auto"/>
            <w:right w:val="none" w:sz="0" w:space="0" w:color="auto"/>
          </w:divBdr>
          <w:divsChild>
            <w:div w:id="1719549837">
              <w:marLeft w:val="0"/>
              <w:marRight w:val="0"/>
              <w:marTop w:val="0"/>
              <w:marBottom w:val="0"/>
              <w:divBdr>
                <w:top w:val="none" w:sz="0" w:space="0" w:color="auto"/>
                <w:left w:val="none" w:sz="0" w:space="0" w:color="auto"/>
                <w:bottom w:val="none" w:sz="0" w:space="0" w:color="auto"/>
                <w:right w:val="none" w:sz="0" w:space="0" w:color="auto"/>
              </w:divBdr>
              <w:divsChild>
                <w:div w:id="7399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24538">
      <w:bodyDiv w:val="1"/>
      <w:marLeft w:val="0"/>
      <w:marRight w:val="0"/>
      <w:marTop w:val="0"/>
      <w:marBottom w:val="0"/>
      <w:divBdr>
        <w:top w:val="none" w:sz="0" w:space="0" w:color="auto"/>
        <w:left w:val="none" w:sz="0" w:space="0" w:color="auto"/>
        <w:bottom w:val="none" w:sz="0" w:space="0" w:color="auto"/>
        <w:right w:val="none" w:sz="0" w:space="0" w:color="auto"/>
      </w:divBdr>
    </w:div>
    <w:div w:id="1120882871">
      <w:bodyDiv w:val="1"/>
      <w:marLeft w:val="0"/>
      <w:marRight w:val="0"/>
      <w:marTop w:val="0"/>
      <w:marBottom w:val="0"/>
      <w:divBdr>
        <w:top w:val="none" w:sz="0" w:space="0" w:color="auto"/>
        <w:left w:val="none" w:sz="0" w:space="0" w:color="auto"/>
        <w:bottom w:val="none" w:sz="0" w:space="0" w:color="auto"/>
        <w:right w:val="none" w:sz="0" w:space="0" w:color="auto"/>
      </w:divBdr>
    </w:div>
    <w:div w:id="1146775363">
      <w:bodyDiv w:val="1"/>
      <w:marLeft w:val="0"/>
      <w:marRight w:val="0"/>
      <w:marTop w:val="0"/>
      <w:marBottom w:val="0"/>
      <w:divBdr>
        <w:top w:val="none" w:sz="0" w:space="0" w:color="auto"/>
        <w:left w:val="none" w:sz="0" w:space="0" w:color="auto"/>
        <w:bottom w:val="none" w:sz="0" w:space="0" w:color="auto"/>
        <w:right w:val="none" w:sz="0" w:space="0" w:color="auto"/>
      </w:divBdr>
    </w:div>
    <w:div w:id="1212500538">
      <w:bodyDiv w:val="1"/>
      <w:marLeft w:val="0"/>
      <w:marRight w:val="0"/>
      <w:marTop w:val="0"/>
      <w:marBottom w:val="0"/>
      <w:divBdr>
        <w:top w:val="none" w:sz="0" w:space="0" w:color="auto"/>
        <w:left w:val="none" w:sz="0" w:space="0" w:color="auto"/>
        <w:bottom w:val="none" w:sz="0" w:space="0" w:color="auto"/>
        <w:right w:val="none" w:sz="0" w:space="0" w:color="auto"/>
      </w:divBdr>
    </w:div>
    <w:div w:id="1252350628">
      <w:bodyDiv w:val="1"/>
      <w:marLeft w:val="0"/>
      <w:marRight w:val="0"/>
      <w:marTop w:val="0"/>
      <w:marBottom w:val="0"/>
      <w:divBdr>
        <w:top w:val="none" w:sz="0" w:space="0" w:color="auto"/>
        <w:left w:val="none" w:sz="0" w:space="0" w:color="auto"/>
        <w:bottom w:val="none" w:sz="0" w:space="0" w:color="auto"/>
        <w:right w:val="none" w:sz="0" w:space="0" w:color="auto"/>
      </w:divBdr>
    </w:div>
    <w:div w:id="1265193168">
      <w:bodyDiv w:val="1"/>
      <w:marLeft w:val="0"/>
      <w:marRight w:val="0"/>
      <w:marTop w:val="0"/>
      <w:marBottom w:val="0"/>
      <w:divBdr>
        <w:top w:val="none" w:sz="0" w:space="0" w:color="auto"/>
        <w:left w:val="none" w:sz="0" w:space="0" w:color="auto"/>
        <w:bottom w:val="none" w:sz="0" w:space="0" w:color="auto"/>
        <w:right w:val="none" w:sz="0" w:space="0" w:color="auto"/>
      </w:divBdr>
    </w:div>
    <w:div w:id="1303779096">
      <w:bodyDiv w:val="1"/>
      <w:marLeft w:val="0"/>
      <w:marRight w:val="0"/>
      <w:marTop w:val="0"/>
      <w:marBottom w:val="0"/>
      <w:divBdr>
        <w:top w:val="none" w:sz="0" w:space="0" w:color="auto"/>
        <w:left w:val="none" w:sz="0" w:space="0" w:color="auto"/>
        <w:bottom w:val="none" w:sz="0" w:space="0" w:color="auto"/>
        <w:right w:val="none" w:sz="0" w:space="0" w:color="auto"/>
      </w:divBdr>
      <w:divsChild>
        <w:div w:id="422839912">
          <w:marLeft w:val="0"/>
          <w:marRight w:val="0"/>
          <w:marTop w:val="0"/>
          <w:marBottom w:val="0"/>
          <w:divBdr>
            <w:top w:val="none" w:sz="0" w:space="0" w:color="auto"/>
            <w:left w:val="none" w:sz="0" w:space="0" w:color="auto"/>
            <w:bottom w:val="none" w:sz="0" w:space="0" w:color="auto"/>
            <w:right w:val="none" w:sz="0" w:space="0" w:color="auto"/>
          </w:divBdr>
        </w:div>
        <w:div w:id="2083334386">
          <w:marLeft w:val="0"/>
          <w:marRight w:val="75"/>
          <w:marTop w:val="0"/>
          <w:marBottom w:val="0"/>
          <w:divBdr>
            <w:top w:val="none" w:sz="0" w:space="0" w:color="auto"/>
            <w:left w:val="none" w:sz="0" w:space="0" w:color="auto"/>
            <w:bottom w:val="none" w:sz="0" w:space="0" w:color="auto"/>
            <w:right w:val="none" w:sz="0" w:space="0" w:color="auto"/>
          </w:divBdr>
          <w:divsChild>
            <w:div w:id="1231847175">
              <w:marLeft w:val="0"/>
              <w:marRight w:val="0"/>
              <w:marTop w:val="0"/>
              <w:marBottom w:val="0"/>
              <w:divBdr>
                <w:top w:val="none" w:sz="0" w:space="0" w:color="auto"/>
                <w:left w:val="none" w:sz="0" w:space="0" w:color="auto"/>
                <w:bottom w:val="none" w:sz="0" w:space="0" w:color="auto"/>
                <w:right w:val="none" w:sz="0" w:space="0" w:color="auto"/>
              </w:divBdr>
            </w:div>
            <w:div w:id="174707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4597">
      <w:bodyDiv w:val="1"/>
      <w:marLeft w:val="0"/>
      <w:marRight w:val="0"/>
      <w:marTop w:val="0"/>
      <w:marBottom w:val="0"/>
      <w:divBdr>
        <w:top w:val="none" w:sz="0" w:space="0" w:color="auto"/>
        <w:left w:val="none" w:sz="0" w:space="0" w:color="auto"/>
        <w:bottom w:val="none" w:sz="0" w:space="0" w:color="auto"/>
        <w:right w:val="none" w:sz="0" w:space="0" w:color="auto"/>
      </w:divBdr>
    </w:div>
    <w:div w:id="1372654687">
      <w:bodyDiv w:val="1"/>
      <w:marLeft w:val="0"/>
      <w:marRight w:val="0"/>
      <w:marTop w:val="0"/>
      <w:marBottom w:val="0"/>
      <w:divBdr>
        <w:top w:val="none" w:sz="0" w:space="0" w:color="auto"/>
        <w:left w:val="none" w:sz="0" w:space="0" w:color="auto"/>
        <w:bottom w:val="none" w:sz="0" w:space="0" w:color="auto"/>
        <w:right w:val="none" w:sz="0" w:space="0" w:color="auto"/>
      </w:divBdr>
    </w:div>
    <w:div w:id="1451896772">
      <w:bodyDiv w:val="1"/>
      <w:marLeft w:val="0"/>
      <w:marRight w:val="0"/>
      <w:marTop w:val="0"/>
      <w:marBottom w:val="0"/>
      <w:divBdr>
        <w:top w:val="none" w:sz="0" w:space="0" w:color="auto"/>
        <w:left w:val="none" w:sz="0" w:space="0" w:color="auto"/>
        <w:bottom w:val="none" w:sz="0" w:space="0" w:color="auto"/>
        <w:right w:val="none" w:sz="0" w:space="0" w:color="auto"/>
      </w:divBdr>
    </w:div>
    <w:div w:id="1455753578">
      <w:bodyDiv w:val="1"/>
      <w:marLeft w:val="0"/>
      <w:marRight w:val="0"/>
      <w:marTop w:val="0"/>
      <w:marBottom w:val="0"/>
      <w:divBdr>
        <w:top w:val="none" w:sz="0" w:space="0" w:color="auto"/>
        <w:left w:val="none" w:sz="0" w:space="0" w:color="auto"/>
        <w:bottom w:val="none" w:sz="0" w:space="0" w:color="auto"/>
        <w:right w:val="none" w:sz="0" w:space="0" w:color="auto"/>
      </w:divBdr>
    </w:div>
    <w:div w:id="1561594855">
      <w:bodyDiv w:val="1"/>
      <w:marLeft w:val="0"/>
      <w:marRight w:val="0"/>
      <w:marTop w:val="0"/>
      <w:marBottom w:val="0"/>
      <w:divBdr>
        <w:top w:val="none" w:sz="0" w:space="0" w:color="auto"/>
        <w:left w:val="none" w:sz="0" w:space="0" w:color="auto"/>
        <w:bottom w:val="none" w:sz="0" w:space="0" w:color="auto"/>
        <w:right w:val="none" w:sz="0" w:space="0" w:color="auto"/>
      </w:divBdr>
    </w:div>
    <w:div w:id="1579484460">
      <w:bodyDiv w:val="1"/>
      <w:marLeft w:val="0"/>
      <w:marRight w:val="0"/>
      <w:marTop w:val="0"/>
      <w:marBottom w:val="0"/>
      <w:divBdr>
        <w:top w:val="none" w:sz="0" w:space="0" w:color="auto"/>
        <w:left w:val="none" w:sz="0" w:space="0" w:color="auto"/>
        <w:bottom w:val="none" w:sz="0" w:space="0" w:color="auto"/>
        <w:right w:val="none" w:sz="0" w:space="0" w:color="auto"/>
      </w:divBdr>
    </w:div>
    <w:div w:id="1624800706">
      <w:bodyDiv w:val="1"/>
      <w:marLeft w:val="0"/>
      <w:marRight w:val="0"/>
      <w:marTop w:val="0"/>
      <w:marBottom w:val="0"/>
      <w:divBdr>
        <w:top w:val="none" w:sz="0" w:space="0" w:color="auto"/>
        <w:left w:val="none" w:sz="0" w:space="0" w:color="auto"/>
        <w:bottom w:val="none" w:sz="0" w:space="0" w:color="auto"/>
        <w:right w:val="none" w:sz="0" w:space="0" w:color="auto"/>
      </w:divBdr>
      <w:divsChild>
        <w:div w:id="1014070680">
          <w:marLeft w:val="0"/>
          <w:marRight w:val="0"/>
          <w:marTop w:val="0"/>
          <w:marBottom w:val="0"/>
          <w:divBdr>
            <w:top w:val="none" w:sz="0" w:space="0" w:color="auto"/>
            <w:left w:val="none" w:sz="0" w:space="0" w:color="auto"/>
            <w:bottom w:val="none" w:sz="0" w:space="0" w:color="auto"/>
            <w:right w:val="none" w:sz="0" w:space="0" w:color="auto"/>
          </w:divBdr>
          <w:divsChild>
            <w:div w:id="1075325603">
              <w:marLeft w:val="0"/>
              <w:marRight w:val="0"/>
              <w:marTop w:val="0"/>
              <w:marBottom w:val="0"/>
              <w:divBdr>
                <w:top w:val="none" w:sz="0" w:space="0" w:color="auto"/>
                <w:left w:val="none" w:sz="0" w:space="0" w:color="auto"/>
                <w:bottom w:val="none" w:sz="0" w:space="0" w:color="auto"/>
                <w:right w:val="none" w:sz="0" w:space="0" w:color="auto"/>
              </w:divBdr>
            </w:div>
          </w:divsChild>
        </w:div>
        <w:div w:id="105732381">
          <w:marLeft w:val="-15"/>
          <w:marRight w:val="60"/>
          <w:marTop w:val="0"/>
          <w:marBottom w:val="0"/>
          <w:divBdr>
            <w:top w:val="none" w:sz="0" w:space="0" w:color="auto"/>
            <w:left w:val="none" w:sz="0" w:space="0" w:color="auto"/>
            <w:bottom w:val="none" w:sz="0" w:space="0" w:color="auto"/>
            <w:right w:val="none" w:sz="0" w:space="0" w:color="auto"/>
          </w:divBdr>
          <w:divsChild>
            <w:div w:id="15095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11981">
      <w:bodyDiv w:val="1"/>
      <w:marLeft w:val="0"/>
      <w:marRight w:val="0"/>
      <w:marTop w:val="0"/>
      <w:marBottom w:val="0"/>
      <w:divBdr>
        <w:top w:val="none" w:sz="0" w:space="0" w:color="auto"/>
        <w:left w:val="none" w:sz="0" w:space="0" w:color="auto"/>
        <w:bottom w:val="none" w:sz="0" w:space="0" w:color="auto"/>
        <w:right w:val="none" w:sz="0" w:space="0" w:color="auto"/>
      </w:divBdr>
      <w:divsChild>
        <w:div w:id="1667901056">
          <w:marLeft w:val="0"/>
          <w:marRight w:val="0"/>
          <w:marTop w:val="0"/>
          <w:marBottom w:val="0"/>
          <w:divBdr>
            <w:top w:val="none" w:sz="0" w:space="0" w:color="auto"/>
            <w:left w:val="none" w:sz="0" w:space="0" w:color="auto"/>
            <w:bottom w:val="none" w:sz="0" w:space="0" w:color="auto"/>
            <w:right w:val="none" w:sz="0" w:space="0" w:color="auto"/>
          </w:divBdr>
          <w:divsChild>
            <w:div w:id="92290625">
              <w:marLeft w:val="0"/>
              <w:marRight w:val="0"/>
              <w:marTop w:val="0"/>
              <w:marBottom w:val="0"/>
              <w:divBdr>
                <w:top w:val="none" w:sz="0" w:space="0" w:color="auto"/>
                <w:left w:val="none" w:sz="0" w:space="0" w:color="auto"/>
                <w:bottom w:val="none" w:sz="0" w:space="0" w:color="auto"/>
                <w:right w:val="none" w:sz="0" w:space="0" w:color="auto"/>
              </w:divBdr>
            </w:div>
          </w:divsChild>
        </w:div>
        <w:div w:id="1606768679">
          <w:marLeft w:val="-15"/>
          <w:marRight w:val="60"/>
          <w:marTop w:val="0"/>
          <w:marBottom w:val="0"/>
          <w:divBdr>
            <w:top w:val="none" w:sz="0" w:space="0" w:color="auto"/>
            <w:left w:val="none" w:sz="0" w:space="0" w:color="auto"/>
            <w:bottom w:val="none" w:sz="0" w:space="0" w:color="auto"/>
            <w:right w:val="none" w:sz="0" w:space="0" w:color="auto"/>
          </w:divBdr>
          <w:divsChild>
            <w:div w:id="1896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28622">
      <w:bodyDiv w:val="1"/>
      <w:marLeft w:val="0"/>
      <w:marRight w:val="0"/>
      <w:marTop w:val="0"/>
      <w:marBottom w:val="0"/>
      <w:divBdr>
        <w:top w:val="none" w:sz="0" w:space="0" w:color="auto"/>
        <w:left w:val="none" w:sz="0" w:space="0" w:color="auto"/>
        <w:bottom w:val="none" w:sz="0" w:space="0" w:color="auto"/>
        <w:right w:val="none" w:sz="0" w:space="0" w:color="auto"/>
      </w:divBdr>
    </w:div>
    <w:div w:id="1768036692">
      <w:bodyDiv w:val="1"/>
      <w:marLeft w:val="0"/>
      <w:marRight w:val="0"/>
      <w:marTop w:val="0"/>
      <w:marBottom w:val="0"/>
      <w:divBdr>
        <w:top w:val="none" w:sz="0" w:space="0" w:color="auto"/>
        <w:left w:val="none" w:sz="0" w:space="0" w:color="auto"/>
        <w:bottom w:val="none" w:sz="0" w:space="0" w:color="auto"/>
        <w:right w:val="none" w:sz="0" w:space="0" w:color="auto"/>
      </w:divBdr>
    </w:div>
    <w:div w:id="1828401770">
      <w:bodyDiv w:val="1"/>
      <w:marLeft w:val="0"/>
      <w:marRight w:val="0"/>
      <w:marTop w:val="0"/>
      <w:marBottom w:val="0"/>
      <w:divBdr>
        <w:top w:val="none" w:sz="0" w:space="0" w:color="auto"/>
        <w:left w:val="none" w:sz="0" w:space="0" w:color="auto"/>
        <w:bottom w:val="none" w:sz="0" w:space="0" w:color="auto"/>
        <w:right w:val="none" w:sz="0" w:space="0" w:color="auto"/>
      </w:divBdr>
    </w:div>
    <w:div w:id="1909000583">
      <w:bodyDiv w:val="1"/>
      <w:marLeft w:val="0"/>
      <w:marRight w:val="0"/>
      <w:marTop w:val="0"/>
      <w:marBottom w:val="0"/>
      <w:divBdr>
        <w:top w:val="none" w:sz="0" w:space="0" w:color="auto"/>
        <w:left w:val="none" w:sz="0" w:space="0" w:color="auto"/>
        <w:bottom w:val="none" w:sz="0" w:space="0" w:color="auto"/>
        <w:right w:val="none" w:sz="0" w:space="0" w:color="auto"/>
      </w:divBdr>
    </w:div>
    <w:div w:id="1918905022">
      <w:bodyDiv w:val="1"/>
      <w:marLeft w:val="0"/>
      <w:marRight w:val="0"/>
      <w:marTop w:val="0"/>
      <w:marBottom w:val="0"/>
      <w:divBdr>
        <w:top w:val="none" w:sz="0" w:space="0" w:color="auto"/>
        <w:left w:val="none" w:sz="0" w:space="0" w:color="auto"/>
        <w:bottom w:val="none" w:sz="0" w:space="0" w:color="auto"/>
        <w:right w:val="none" w:sz="0" w:space="0" w:color="auto"/>
      </w:divBdr>
      <w:divsChild>
        <w:div w:id="1623729264">
          <w:marLeft w:val="2862"/>
          <w:marRight w:val="0"/>
          <w:marTop w:val="0"/>
          <w:marBottom w:val="750"/>
          <w:divBdr>
            <w:top w:val="none" w:sz="0" w:space="0" w:color="auto"/>
            <w:left w:val="none" w:sz="0" w:space="0" w:color="auto"/>
            <w:bottom w:val="none" w:sz="0" w:space="0" w:color="auto"/>
            <w:right w:val="none" w:sz="0" w:space="0" w:color="auto"/>
          </w:divBdr>
          <w:divsChild>
            <w:div w:id="2015760407">
              <w:marLeft w:val="0"/>
              <w:marRight w:val="0"/>
              <w:marTop w:val="0"/>
              <w:marBottom w:val="0"/>
              <w:divBdr>
                <w:top w:val="none" w:sz="0" w:space="0" w:color="auto"/>
                <w:left w:val="none" w:sz="0" w:space="0" w:color="auto"/>
                <w:bottom w:val="none" w:sz="0" w:space="0" w:color="auto"/>
                <w:right w:val="none" w:sz="0" w:space="0" w:color="auto"/>
              </w:divBdr>
              <w:divsChild>
                <w:div w:id="5315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0180">
          <w:marLeft w:val="2862"/>
          <w:marRight w:val="0"/>
          <w:marTop w:val="0"/>
          <w:marBottom w:val="750"/>
          <w:divBdr>
            <w:top w:val="none" w:sz="0" w:space="0" w:color="auto"/>
            <w:left w:val="none" w:sz="0" w:space="0" w:color="auto"/>
            <w:bottom w:val="none" w:sz="0" w:space="0" w:color="auto"/>
            <w:right w:val="none" w:sz="0" w:space="0" w:color="auto"/>
          </w:divBdr>
          <w:divsChild>
            <w:div w:id="2029141260">
              <w:marLeft w:val="0"/>
              <w:marRight w:val="0"/>
              <w:marTop w:val="0"/>
              <w:marBottom w:val="0"/>
              <w:divBdr>
                <w:top w:val="none" w:sz="0" w:space="0" w:color="auto"/>
                <w:left w:val="none" w:sz="0" w:space="0" w:color="auto"/>
                <w:bottom w:val="none" w:sz="0" w:space="0" w:color="auto"/>
                <w:right w:val="none" w:sz="0" w:space="0" w:color="auto"/>
              </w:divBdr>
              <w:divsChild>
                <w:div w:id="21121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13213">
      <w:bodyDiv w:val="1"/>
      <w:marLeft w:val="0"/>
      <w:marRight w:val="0"/>
      <w:marTop w:val="0"/>
      <w:marBottom w:val="0"/>
      <w:divBdr>
        <w:top w:val="none" w:sz="0" w:space="0" w:color="auto"/>
        <w:left w:val="none" w:sz="0" w:space="0" w:color="auto"/>
        <w:bottom w:val="none" w:sz="0" w:space="0" w:color="auto"/>
        <w:right w:val="none" w:sz="0" w:space="0" w:color="auto"/>
      </w:divBdr>
    </w:div>
    <w:div w:id="2040083711">
      <w:bodyDiv w:val="1"/>
      <w:marLeft w:val="0"/>
      <w:marRight w:val="0"/>
      <w:marTop w:val="0"/>
      <w:marBottom w:val="0"/>
      <w:divBdr>
        <w:top w:val="none" w:sz="0" w:space="0" w:color="auto"/>
        <w:left w:val="none" w:sz="0" w:space="0" w:color="auto"/>
        <w:bottom w:val="none" w:sz="0" w:space="0" w:color="auto"/>
        <w:right w:val="none" w:sz="0" w:space="0" w:color="auto"/>
      </w:divBdr>
    </w:div>
    <w:div w:id="2113934459">
      <w:bodyDiv w:val="1"/>
      <w:marLeft w:val="0"/>
      <w:marRight w:val="0"/>
      <w:marTop w:val="0"/>
      <w:marBottom w:val="0"/>
      <w:divBdr>
        <w:top w:val="none" w:sz="0" w:space="0" w:color="auto"/>
        <w:left w:val="none" w:sz="0" w:space="0" w:color="auto"/>
        <w:bottom w:val="none" w:sz="0" w:space="0" w:color="auto"/>
        <w:right w:val="none" w:sz="0" w:space="0" w:color="auto"/>
      </w:divBdr>
    </w:div>
    <w:div w:id="2120759692">
      <w:bodyDiv w:val="1"/>
      <w:marLeft w:val="0"/>
      <w:marRight w:val="0"/>
      <w:marTop w:val="0"/>
      <w:marBottom w:val="0"/>
      <w:divBdr>
        <w:top w:val="none" w:sz="0" w:space="0" w:color="auto"/>
        <w:left w:val="none" w:sz="0" w:space="0" w:color="auto"/>
        <w:bottom w:val="none" w:sz="0" w:space="0" w:color="auto"/>
        <w:right w:val="none" w:sz="0" w:space="0" w:color="auto"/>
      </w:divBdr>
    </w:div>
    <w:div w:id="214180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m.ac.uk/explore/irish-war-independence"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www.nam.ac.uk/explore/troubles-1969-2007"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m.ac.uk/explore/easter-risin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nam.ac.uk/explore/to-arms191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am.ac.uk/explore/irish-rebellion-1798" TargetMode="External"/><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B5C39-4019-4B8A-B586-EE2B24ACF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1356</Words>
  <Characters>8274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Møller Pedersen</dc:creator>
  <cp:keywords/>
  <dc:description/>
  <cp:lastModifiedBy>Ole Møller Pedersen</cp:lastModifiedBy>
  <cp:revision>2</cp:revision>
  <dcterms:created xsi:type="dcterms:W3CDTF">2026-01-14T06:38:00Z</dcterms:created>
  <dcterms:modified xsi:type="dcterms:W3CDTF">2026-01-14T06:38:00Z</dcterms:modified>
</cp:coreProperties>
</file>