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F6330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bookmarkStart w:id="0" w:name="_GoBack"/>
      <w:bookmarkEnd w:id="0"/>
      <w:r>
        <w:rPr>
          <w:rFonts w:ascii="Calibri Light" w:hAnsi="Calibri Light" w:cs="Calibri Light"/>
          <w:sz w:val="40"/>
          <w:szCs w:val="40"/>
        </w:rPr>
        <w:t>Hulebilledet - fortolkning efter ny udg.</w:t>
      </w:r>
    </w:p>
    <w:p w:rsidR="00000000" w:rsidRDefault="002F6330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12. april 2016</w:t>
      </w:r>
    </w:p>
    <w:p w:rsidR="00000000" w:rsidRDefault="002F6330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13:08</w:t>
      </w:r>
    </w:p>
    <w:p w:rsidR="00000000" w:rsidRDefault="002F633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HULELIGNELSEN (billedplan)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</w:rPr>
        <w:t>Solen</w:t>
      </w:r>
      <w:r>
        <w:rPr>
          <w:rFonts w:ascii="Trebuchet MS" w:hAnsi="Trebuchet MS" w:cs="Calibri"/>
        </w:rPr>
        <w:t>: ”Årsag til alt” (s. 297)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Verden udenfor indeholder: Stjerner, mennesker og rigtige ting dvs. ”det </w:t>
      </w:r>
      <w:r>
        <w:rPr>
          <w:rFonts w:ascii="Trebuchet MS" w:hAnsi="Trebuchet MS" w:cs="Calibri"/>
          <w:u w:val="single"/>
        </w:rPr>
        <w:t>værende</w:t>
      </w:r>
      <w:r>
        <w:rPr>
          <w:rFonts w:ascii="Trebuchet MS" w:hAnsi="Trebuchet MS" w:cs="Calibri"/>
        </w:rPr>
        <w:t xml:space="preserve">” (s. 300) og ”sandheden” (s. 301). 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543300" cy="3114675"/>
            <wp:effectExtent l="0" t="0" r="0" b="9525"/>
            <wp:docPr id="1" name="Billede 1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1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Verden nede i </w:t>
      </w:r>
      <w:r>
        <w:rPr>
          <w:rFonts w:ascii="Trebuchet MS" w:hAnsi="Trebuchet MS" w:cs="Calibri"/>
        </w:rPr>
        <w:t>hulen indeholder: Figurer, der kaster skygger (efterligninger af efterligninger).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Denne verden rummer ”al tilblivelse” (s. 300)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dvs. den er </w:t>
      </w:r>
      <w:r>
        <w:rPr>
          <w:rFonts w:ascii="Trebuchet MS" w:hAnsi="Trebuchet MS" w:cs="Calibri"/>
          <w:u w:val="single"/>
        </w:rPr>
        <w:t>vordende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FORTOLKNING (realplan)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</w:rPr>
        <w:t>Solen</w:t>
      </w:r>
      <w:r>
        <w:rPr>
          <w:rFonts w:ascii="Trebuchet MS" w:hAnsi="Trebuchet MS" w:cs="Calibri"/>
        </w:rPr>
        <w:t xml:space="preserve"> er et symbol på: ”Det godes form...årsag til alt, hvad der er godt og sm</w:t>
      </w:r>
      <w:r>
        <w:rPr>
          <w:rFonts w:ascii="Trebuchet MS" w:hAnsi="Trebuchet MS" w:cs="Calibri"/>
        </w:rPr>
        <w:t xml:space="preserve">ukt overalt. I </w:t>
      </w:r>
      <w:r>
        <w:rPr>
          <w:rFonts w:ascii="Trebuchet MS" w:hAnsi="Trebuchet MS" w:cs="Calibri"/>
          <w:u w:val="single"/>
        </w:rPr>
        <w:t>den synlige verden</w:t>
      </w:r>
      <w:r>
        <w:rPr>
          <w:rFonts w:ascii="Trebuchet MS" w:hAnsi="Trebuchet MS" w:cs="Calibri"/>
        </w:rPr>
        <w:t xml:space="preserve"> har den født lyset og lysets herre, men i </w:t>
      </w:r>
      <w:r>
        <w:rPr>
          <w:rFonts w:ascii="Trebuchet MS" w:hAnsi="Trebuchet MS" w:cs="Calibri"/>
          <w:u w:val="single"/>
        </w:rPr>
        <w:t xml:space="preserve">fornuftens verden </w:t>
      </w:r>
      <w:r>
        <w:rPr>
          <w:rFonts w:ascii="Trebuchet MS" w:hAnsi="Trebuchet MS" w:cs="Calibri"/>
        </w:rPr>
        <w:t>er den selv herre over – og årsag til – sandhed og fornuft” (s. 298)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  <w:u w:val="single"/>
        </w:rPr>
        <w:t>Verden udenfor symboliserer: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lastRenderedPageBreak/>
        <w:t>Den tænkelige (intelligible) verden = ideernes verden. ”Den gu</w:t>
      </w:r>
      <w:r>
        <w:rPr>
          <w:rFonts w:ascii="Trebuchet MS" w:hAnsi="Trebuchet MS" w:cs="Calibri"/>
        </w:rPr>
        <w:t>ddommelige verden” (s. 299).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Idé (græsk): form, begreb.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(intelligibel: Hvad der kun kan opfattes med forstanden, men ikke med sanserne)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  <w:u w:val="single"/>
        </w:rPr>
        <w:t>Verden i hulen symboliserer: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Den synlige (sanselige) verden = fænomenernes verden. ”Menneskenes verden (s. 299).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Fænomen (græsk): Hvad der viser sig. Dvs. tingene opfattes sådan som de viser sig for vore sanser.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  <w:u w:val="single"/>
        </w:rPr>
        <w:t>Ang. forholdet ml. de to verdener: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u w:val="single"/>
        </w:rPr>
        <w:t>Ideerne</w:t>
      </w:r>
      <w:r>
        <w:rPr>
          <w:rFonts w:ascii="Trebuchet MS" w:hAnsi="Trebuchet MS" w:cs="Calibri"/>
        </w:rPr>
        <w:t xml:space="preserve"> er det fælles, substansen og dermed evigt eksisterende (væren).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u w:val="single"/>
        </w:rPr>
        <w:t>Fænomenerne</w:t>
      </w:r>
      <w:r>
        <w:rPr>
          <w:rFonts w:ascii="Trebuchet MS" w:hAnsi="Trebuchet MS" w:cs="Calibri"/>
        </w:rPr>
        <w:t xml:space="preserve"> opstår som resultat af, at ideerne f</w:t>
      </w:r>
      <w:r>
        <w:rPr>
          <w:rFonts w:ascii="Trebuchet MS" w:hAnsi="Trebuchet MS" w:cs="Calibri"/>
        </w:rPr>
        <w:t>remtræder i forskellige tilstands- el. eksistensformer. De er dermed kun efterligninger/skygger af ideerne (vorden).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Fortsat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”Rejsen op fra hulen og synet af tingene deroppe = sjælens opstigning til fornuftens verden” (s. 298) ”indtil sjælen kan klare sy</w:t>
      </w:r>
      <w:r>
        <w:rPr>
          <w:rFonts w:ascii="Trebuchet MS" w:hAnsi="Trebuchet MS" w:cs="Calibri"/>
        </w:rPr>
        <w:t>net af det værende, og især den klareste del af det værende. Det er den del, vi kalder det gode” (s. 300).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Opstigningen sker ved hjælp af ”evnen til at tænke - sjælens guddommelige element” (s. 300).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Modsat er det, der forhindrer opstigning: ”blylodder</w:t>
      </w:r>
      <w:r>
        <w:rPr>
          <w:rFonts w:ascii="Trebuchet MS" w:hAnsi="Trebuchet MS" w:cs="Calibri"/>
        </w:rPr>
        <w:t>, som er skabt af spisning og andre af den slags nydelser, og som trækker sjælens blik nedad.” (s. 300f.).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  <w:u w:val="single"/>
        </w:rPr>
        <w:t>Opstigningens mål</w:t>
      </w:r>
      <w:r>
        <w:rPr>
          <w:rFonts w:ascii="Trebuchet MS" w:hAnsi="Trebuchet MS" w:cs="Calibri"/>
        </w:rPr>
        <w:t>: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”At få de bedste naturer…til at foretage denne opstigning og få indblik i det gode” (s. 301).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”Opstigningen til det værende, som</w:t>
      </w:r>
      <w:r>
        <w:rPr>
          <w:rFonts w:ascii="Trebuchet MS" w:hAnsi="Trebuchet MS" w:cs="Calibri"/>
        </w:rPr>
        <w:t xml:space="preserve"> vi vil sige er sand filosofi (s. 304).        -----------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</w:rPr>
        <w:t>Platon forener med sin idelære den førsokratiske modsætning: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  <w:b/>
          <w:bCs/>
        </w:rPr>
        <w:t> </w:t>
      </w:r>
    </w:p>
    <w:p w:rsidR="00000000" w:rsidRDefault="002F6330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Trebuchet MS" w:hAnsi="Trebuchet MS" w:cs="Calibri"/>
          <w:u w:val="single"/>
        </w:rPr>
        <w:t>idé</w:t>
      </w:r>
      <w:r>
        <w:rPr>
          <w:rFonts w:ascii="Trebuchet MS" w:hAnsi="Trebuchet MS" w:cs="Calibri"/>
        </w:rPr>
        <w:t xml:space="preserve">    </w:t>
      </w:r>
      <w:r>
        <w:rPr>
          <w:rFonts w:ascii="Arial" w:hAnsi="Arial" w:cs="Arial"/>
        </w:rPr>
        <w:t>=</w:t>
      </w:r>
      <w:r>
        <w:rPr>
          <w:rFonts w:ascii="Trebuchet MS" w:hAnsi="Trebuchet MS" w:cs="Calibri"/>
        </w:rPr>
        <w:t xml:space="preserve">     </w:t>
      </w:r>
      <w:r>
        <w:rPr>
          <w:rFonts w:ascii="Trebuchet MS" w:hAnsi="Trebuchet MS" w:cs="Calibri"/>
          <w:u w:val="single"/>
        </w:rPr>
        <w:t>væren</w:t>
      </w:r>
      <w:r>
        <w:rPr>
          <w:rFonts w:ascii="Trebuchet MS" w:hAnsi="Trebuchet MS" w:cs="Calibri"/>
        </w:rPr>
        <w:t xml:space="preserve">    </w:t>
      </w:r>
      <w:r>
        <w:rPr>
          <w:rFonts w:ascii="Arial" w:hAnsi="Arial" w:cs="Arial"/>
        </w:rPr>
        <w:t>=</w:t>
      </w:r>
      <w:r>
        <w:rPr>
          <w:rFonts w:ascii="Trebuchet MS" w:hAnsi="Trebuchet MS" w:cs="Calibri"/>
        </w:rPr>
        <w:t xml:space="preserve">  </w:t>
      </w:r>
      <w:r>
        <w:rPr>
          <w:rFonts w:ascii="Trebuchet MS" w:hAnsi="Trebuchet MS" w:cs="Calibri"/>
          <w:u w:val="single"/>
        </w:rPr>
        <w:t>Parmenides</w:t>
      </w:r>
    </w:p>
    <w:p w:rsidR="00000000" w:rsidRDefault="002F6330">
      <w:pPr>
        <w:pStyle w:val="NormalWeb"/>
        <w:spacing w:before="0" w:beforeAutospacing="0" w:after="0" w:afterAutospacing="0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fænomen   vorden       Heraklit   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30"/>
    <w:rsid w:val="002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7701-31BA-4E36-8316-D0B9AAC3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2018-04-13T06:53:00Z</dcterms:created>
  <dcterms:modified xsi:type="dcterms:W3CDTF">2018-04-13T06:53:00Z</dcterms:modified>
</cp:coreProperties>
</file>