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9390" w14:textId="77777777" w:rsidR="00D64748" w:rsidRDefault="00D64748">
      <w:pPr>
        <w:pStyle w:val="NormalWeb"/>
        <w:spacing w:before="0" w:beforeAutospacing="0" w:after="300" w:afterAutospacing="0"/>
        <w:rPr>
          <w:rFonts w:ascii="Calibri" w:hAnsi="Calibri" w:cs="Calibri"/>
          <w:color w:val="17365D"/>
          <w:sz w:val="34"/>
          <w:szCs w:val="34"/>
        </w:rPr>
      </w:pPr>
      <w:r>
        <w:rPr>
          <w:rFonts w:ascii="Calibri" w:hAnsi="Calibri" w:cs="Calibri"/>
          <w:color w:val="17365D"/>
          <w:sz w:val="34"/>
          <w:szCs w:val="34"/>
        </w:rPr>
        <w:t xml:space="preserve">Græsk filosofihistorie </w:t>
      </w:r>
    </w:p>
    <w:p w14:paraId="744DE0B0" w14:textId="77777777" w:rsidR="00D64748" w:rsidRDefault="00D6474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AB1B6EC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507 f.Kr.: Demokratiet indføres</w:t>
      </w:r>
    </w:p>
    <w:p w14:paraId="3EC366A8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499-479 f.Kr.: Perserkrigene mellem Perserne og et forbund af de græske bystater. Vindes af grækerne.</w:t>
      </w:r>
    </w:p>
    <w:p w14:paraId="69461C96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431-404 f.Kr.: Den </w:t>
      </w:r>
      <w:r>
        <w:rPr>
          <w:rFonts w:ascii="Calibri" w:eastAsia="Times New Roman" w:hAnsi="Calibri" w:cs="Calibri"/>
          <w:sz w:val="28"/>
          <w:szCs w:val="28"/>
        </w:rPr>
        <w:t>peloponnesiske krig ml. Det deliske søforbund (Athen = demokratisk styre) og Det peloponnesiske forbund (Sparta = oligarkisk styre). Vindes af Sparta.</w:t>
      </w:r>
    </w:p>
    <w:p w14:paraId="41C3935D" w14:textId="77777777" w:rsidR="00D64748" w:rsidRDefault="00D64748">
      <w:pPr>
        <w:numPr>
          <w:ilvl w:val="1"/>
          <w:numId w:val="1"/>
        </w:numPr>
        <w:spacing w:before="480"/>
        <w:textAlignment w:val="center"/>
        <w:rPr>
          <w:rFonts w:ascii="Calibri" w:eastAsia="Times New Roman" w:hAnsi="Calibri" w:cs="Calibri"/>
          <w:color w:val="365F91"/>
          <w:sz w:val="22"/>
          <w:szCs w:val="22"/>
        </w:rPr>
      </w:pPr>
      <w:r>
        <w:rPr>
          <w:rFonts w:ascii="Cambria" w:eastAsia="Times New Roman" w:hAnsi="Cambria" w:cs="Calibri"/>
          <w:b/>
          <w:bCs/>
          <w:color w:val="365F91"/>
          <w:sz w:val="36"/>
          <w:szCs w:val="36"/>
        </w:rPr>
        <w:t>Førsokratisk filosofi</w:t>
      </w:r>
    </w:p>
    <w:p w14:paraId="06F92DB5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Naturlige forklaringer ud fra metodisk og systematisk tænkemåde</w:t>
      </w:r>
    </w:p>
    <w:p w14:paraId="205B20D8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Opgivelse af mytologiske forklaringsmodel baseret på tro.</w:t>
      </w:r>
    </w:p>
    <w:p w14:paraId="6307B8C3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Søgen efter tingenes væsen frem for fænomeners tilfældige egenskaber = filosofi (videnskab)</w:t>
      </w:r>
    </w:p>
    <w:p w14:paraId="3A47F6D1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i/>
          <w:iCs/>
          <w:sz w:val="36"/>
          <w:szCs w:val="36"/>
        </w:rPr>
        <w:t>Arke</w:t>
      </w:r>
      <w:r>
        <w:rPr>
          <w:rFonts w:ascii="Calibri" w:hAnsi="Calibri" w:cs="Calibri"/>
          <w:sz w:val="36"/>
          <w:szCs w:val="36"/>
        </w:rPr>
        <w:t>: urstof eller princip (= tingens egentlige væsen)</w:t>
      </w:r>
    </w:p>
    <w:p w14:paraId="75D491EE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i/>
          <w:iCs/>
          <w:sz w:val="36"/>
          <w:szCs w:val="36"/>
        </w:rPr>
        <w:t xml:space="preserve">Arke </w:t>
      </w:r>
      <w:r>
        <w:rPr>
          <w:rFonts w:ascii="Calibri" w:hAnsi="Calibri" w:cs="Calibri"/>
          <w:sz w:val="36"/>
          <w:szCs w:val="36"/>
        </w:rPr>
        <w:t>kan være jord, luft, ild, vand eller atomet (ingen enighed om dette blandt førsokratikerne)</w:t>
      </w:r>
    </w:p>
    <w:p w14:paraId="76EF47C7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54A181EC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  <w:u w:val="single"/>
        </w:rPr>
        <w:t>Den førsokratiske filosofi (de joniske naturfilosoffer)</w:t>
      </w:r>
    </w:p>
    <w:p w14:paraId="53021279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  <w:u w:val="single"/>
        </w:rPr>
        <w:t> </w:t>
      </w:r>
    </w:p>
    <w:p w14:paraId="118BA0B3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 xml:space="preserve">Fælles problem: Er verden </w:t>
      </w:r>
      <w:r>
        <w:rPr>
          <w:rFonts w:ascii="Trebuchet MS" w:hAnsi="Trebuchet MS" w:cs="Calibri"/>
          <w:i/>
          <w:iCs/>
          <w:sz w:val="28"/>
          <w:szCs w:val="28"/>
        </w:rPr>
        <w:t>væren</w:t>
      </w:r>
      <w:r>
        <w:rPr>
          <w:rFonts w:ascii="Trebuchet MS" w:hAnsi="Trebuchet MS" w:cs="Calibri"/>
          <w:sz w:val="28"/>
          <w:szCs w:val="28"/>
        </w:rPr>
        <w:t xml:space="preserve"> og/eller </w:t>
      </w:r>
      <w:r>
        <w:rPr>
          <w:rFonts w:ascii="Trebuchet MS" w:hAnsi="Trebuchet MS" w:cs="Calibri"/>
          <w:i/>
          <w:iCs/>
          <w:sz w:val="28"/>
          <w:szCs w:val="28"/>
        </w:rPr>
        <w:t>vorden</w:t>
      </w:r>
      <w:r>
        <w:rPr>
          <w:rFonts w:ascii="Trebuchet MS" w:hAnsi="Trebuchet MS" w:cs="Calibri"/>
          <w:sz w:val="28"/>
          <w:szCs w:val="28"/>
        </w:rPr>
        <w:t>?</w:t>
      </w:r>
    </w:p>
    <w:p w14:paraId="34A0A65B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> </w:t>
      </w:r>
    </w:p>
    <w:p w14:paraId="121AB4CC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 xml:space="preserve">Fælles antagelse: Det værende er </w:t>
      </w:r>
      <w:r>
        <w:rPr>
          <w:rFonts w:ascii="Trebuchet MS" w:hAnsi="Trebuchet MS" w:cs="Calibri"/>
          <w:sz w:val="28"/>
          <w:szCs w:val="28"/>
          <w:u w:val="single"/>
        </w:rPr>
        <w:t>evigt</w:t>
      </w:r>
      <w:r>
        <w:rPr>
          <w:rFonts w:ascii="Trebuchet MS" w:hAnsi="Trebuchet MS" w:cs="Calibri"/>
          <w:sz w:val="28"/>
          <w:szCs w:val="28"/>
        </w:rPr>
        <w:t xml:space="preserve"> og </w:t>
      </w:r>
      <w:r>
        <w:rPr>
          <w:rFonts w:ascii="Trebuchet MS" w:hAnsi="Trebuchet MS" w:cs="Calibri"/>
          <w:sz w:val="28"/>
          <w:szCs w:val="28"/>
          <w:u w:val="single"/>
        </w:rPr>
        <w:t>uforanderligt.</w:t>
      </w:r>
    </w:p>
    <w:p w14:paraId="2596B161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> 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70"/>
        <w:gridCol w:w="3676"/>
        <w:gridCol w:w="2352"/>
      </w:tblGrid>
      <w:tr w:rsidR="00000000" w14:paraId="2B460A9B" w14:textId="77777777">
        <w:trPr>
          <w:divId w:val="1322074461"/>
        </w:trPr>
        <w:tc>
          <w:tcPr>
            <w:tcW w:w="33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1FA3B7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To hovedretninger:</w:t>
            </w:r>
          </w:p>
          <w:p w14:paraId="55D87646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  <w:tc>
          <w:tcPr>
            <w:tcW w:w="4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E509D" w14:textId="77777777" w:rsidR="00D64748" w:rsidRDefault="00D64748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08D261CE" wp14:editId="09FED622">
                  <wp:extent cx="1200150" cy="1574800"/>
                  <wp:effectExtent l="0" t="0" r="0" b="635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79A89" w14:textId="77777777" w:rsidR="00D64748" w:rsidRDefault="00D64748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  <w:lang w:val="en-US"/>
              </w:rPr>
              <w:t>Parmenides (540-470 f.Kr.)</w:t>
            </w:r>
          </w:p>
        </w:tc>
        <w:tc>
          <w:tcPr>
            <w:tcW w:w="21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E04B38" w14:textId="77777777" w:rsidR="00D64748" w:rsidRDefault="00D64748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106995F8" wp14:editId="3DAB06BD">
                  <wp:extent cx="1085850" cy="161925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267D4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Heraklit (540-480 f.Kr.)</w:t>
            </w:r>
          </w:p>
        </w:tc>
      </w:tr>
      <w:tr w:rsidR="00000000" w14:paraId="1A3F2EE5" w14:textId="77777777">
        <w:trPr>
          <w:divId w:val="1322074461"/>
        </w:trPr>
        <w:tc>
          <w:tcPr>
            <w:tcW w:w="33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11A6F0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lastRenderedPageBreak/>
              <w:t xml:space="preserve">Fælles for de to retninger: </w:t>
            </w:r>
          </w:p>
          <w:p w14:paraId="753E1BBA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14:paraId="6ABAA6E7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Benægter vore sansers umiddelbare pålidelighed</w:t>
            </w:r>
          </w:p>
          <w:p w14:paraId="15A1E155" w14:textId="77777777" w:rsidR="00D64748" w:rsidRDefault="00D6474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ascii="Wingdings 3" w:hAnsi="Wingdings 3"/>
                <w:sz w:val="28"/>
                <w:szCs w:val="28"/>
              </w:rPr>
              <w:t xml:space="preserve">g </w:t>
            </w:r>
            <w:r>
              <w:rPr>
                <w:rFonts w:ascii="Trebuchet MS" w:hAnsi="Trebuchet MS"/>
                <w:sz w:val="28"/>
                <w:szCs w:val="28"/>
              </w:rPr>
              <w:t>Fare for at verden kun er en illusion</w:t>
            </w:r>
          </w:p>
        </w:tc>
        <w:tc>
          <w:tcPr>
            <w:tcW w:w="4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4E458E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14:paraId="1BCF43F6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1) Det værende er</w:t>
            </w:r>
          </w:p>
          <w:p w14:paraId="796EF314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14:paraId="307047BE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2) Det ikke-værende er ikke</w:t>
            </w:r>
          </w:p>
          <w:p w14:paraId="5E7D1911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14:paraId="0037813D" w14:textId="77777777" w:rsidR="00D64748" w:rsidRDefault="00D6474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ascii="Wingdings 3" w:hAnsi="Wingdings 3"/>
                <w:sz w:val="28"/>
                <w:szCs w:val="28"/>
              </w:rPr>
              <w:t xml:space="preserve">g </w:t>
            </w:r>
            <w:r>
              <w:rPr>
                <w:rFonts w:ascii="Trebuchet MS" w:hAnsi="Trebuchet MS"/>
                <w:sz w:val="28"/>
                <w:szCs w:val="28"/>
              </w:rPr>
              <w:t>bevægelse og forandring er ikke-væren, bedrag, eksisterer reelt ikke (en forandring til noget, der ikke allerede var, strider mod det værende)</w:t>
            </w:r>
          </w:p>
          <w:p w14:paraId="6C65AF63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066BF2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14:paraId="5567D1E5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"Alt flyder/strømmer"</w:t>
            </w:r>
          </w:p>
          <w:p w14:paraId="0AEC13C3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ligesom en flod</w:t>
            </w:r>
          </w:p>
          <w:p w14:paraId="1DBEE3F4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14:paraId="3F3BBF63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Intet er konstant</w:t>
            </w:r>
          </w:p>
          <w:p w14:paraId="722A1832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~ sofisternes subjektivisme</w:t>
            </w:r>
          </w:p>
          <w:p w14:paraId="53EF3132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</w:tr>
      <w:tr w:rsidR="00000000" w14:paraId="0649699B" w14:textId="77777777">
        <w:trPr>
          <w:divId w:val="1322074461"/>
        </w:trPr>
        <w:tc>
          <w:tcPr>
            <w:tcW w:w="33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F6D7F8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  <w:tc>
          <w:tcPr>
            <w:tcW w:w="4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C7F13B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Ergo: </w:t>
            </w:r>
            <w:r>
              <w:rPr>
                <w:rFonts w:ascii="Trebuchet MS" w:hAnsi="Trebuchet MS"/>
                <w:sz w:val="28"/>
                <w:szCs w:val="28"/>
              </w:rPr>
              <w:t>Verden = væren</w:t>
            </w:r>
          </w:p>
          <w:p w14:paraId="6D7E1762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(Statisk opfattelse)</w:t>
            </w:r>
          </w:p>
        </w:tc>
        <w:tc>
          <w:tcPr>
            <w:tcW w:w="21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53F839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Ergo: </w:t>
            </w:r>
            <w:r>
              <w:rPr>
                <w:rFonts w:ascii="Trebuchet MS" w:hAnsi="Trebuchet MS"/>
                <w:sz w:val="28"/>
                <w:szCs w:val="28"/>
              </w:rPr>
              <w:t>Verden = vorden</w:t>
            </w:r>
          </w:p>
          <w:p w14:paraId="456672A8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(Dynamisk opfattelse)</w:t>
            </w:r>
          </w:p>
        </w:tc>
      </w:tr>
      <w:tr w:rsidR="00000000" w14:paraId="3F2192F7" w14:textId="77777777">
        <w:trPr>
          <w:divId w:val="1322074461"/>
        </w:trPr>
        <w:tc>
          <w:tcPr>
            <w:tcW w:w="33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65193A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  <w:tc>
          <w:tcPr>
            <w:tcW w:w="4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5AF92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  <w:tc>
          <w:tcPr>
            <w:tcW w:w="21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AD444A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</w:tr>
      <w:tr w:rsidR="00000000" w14:paraId="02B5E88B" w14:textId="77777777">
        <w:trPr>
          <w:divId w:val="1322074461"/>
        </w:trPr>
        <w:tc>
          <w:tcPr>
            <w:tcW w:w="33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0FDD88" w14:textId="77777777" w:rsidR="00D64748" w:rsidRDefault="00D64748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652E4A9D" wp14:editId="3BF14D97">
                  <wp:extent cx="1308100" cy="1714500"/>
                  <wp:effectExtent l="0" t="0" r="635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B26F0B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b/>
                <w:bCs/>
                <w:lang w:val="en-US"/>
              </w:rPr>
              <w:t>Platon (427-347 f.Kr.)</w:t>
            </w:r>
          </w:p>
        </w:tc>
        <w:tc>
          <w:tcPr>
            <w:tcW w:w="4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5ABB29" w14:textId="77777777" w:rsidR="00D64748" w:rsidRDefault="00D6474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5CCAD648" w14:textId="77777777" w:rsidR="00D64748" w:rsidRDefault="00D64748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 </w:t>
            </w:r>
          </w:p>
          <w:p w14:paraId="6C8B5F72" w14:textId="77777777" w:rsidR="00D64748" w:rsidRDefault="00D64748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 </w:t>
            </w:r>
          </w:p>
          <w:p w14:paraId="39D989B5" w14:textId="77777777" w:rsidR="00D64748" w:rsidRDefault="00D64748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Idé</w:t>
            </w:r>
          </w:p>
          <w:p w14:paraId="6984B0CE" w14:textId="77777777" w:rsidR="00D64748" w:rsidRDefault="00D64748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(værende)</w:t>
            </w:r>
          </w:p>
        </w:tc>
        <w:tc>
          <w:tcPr>
            <w:tcW w:w="21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7FB6B0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14:paraId="18904E57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14:paraId="731A0F42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14:paraId="49C844E5" w14:textId="77777777" w:rsidR="00D64748" w:rsidRDefault="00D64748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Fænomen</w:t>
            </w:r>
          </w:p>
          <w:p w14:paraId="2307F104" w14:textId="77777777" w:rsidR="00D64748" w:rsidRDefault="00D64748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(vordende)</w:t>
            </w:r>
          </w:p>
        </w:tc>
      </w:tr>
      <w:tr w:rsidR="00000000" w14:paraId="5DE13145" w14:textId="77777777">
        <w:trPr>
          <w:divId w:val="1322074461"/>
        </w:trPr>
        <w:tc>
          <w:tcPr>
            <w:tcW w:w="33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A6D7EB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14:paraId="76B6076B" w14:textId="77777777" w:rsidR="00D64748" w:rsidRDefault="00D64748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"redder verden"</w:t>
            </w:r>
          </w:p>
        </w:tc>
        <w:tc>
          <w:tcPr>
            <w:tcW w:w="48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479BCB" w14:textId="77777777" w:rsidR="00D64748" w:rsidRDefault="00D64748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Ergo: </w:t>
            </w:r>
            <w:r>
              <w:rPr>
                <w:rFonts w:ascii="Trebuchet MS" w:hAnsi="Trebuchet MS"/>
                <w:sz w:val="28"/>
                <w:szCs w:val="28"/>
              </w:rPr>
              <w:t>Verden = en syntese af ide og fænomen, af noget værende og vordende.</w:t>
            </w:r>
          </w:p>
        </w:tc>
        <w:tc>
          <w:tcPr>
            <w:tcW w:w="2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308168" w14:textId="77777777" w:rsidR="00D64748" w:rsidRDefault="00D6474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32C10A4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6C871E9F" w14:textId="77777777" w:rsidR="00D64748" w:rsidRDefault="00D64748">
      <w:pPr>
        <w:pStyle w:val="NormalWeb"/>
        <w:spacing w:before="480" w:beforeAutospacing="0" w:after="0" w:afterAutospacing="0"/>
        <w:ind w:left="720"/>
        <w:rPr>
          <w:rFonts w:ascii="Cambria" w:hAnsi="Cambria" w:cs="Calibri"/>
          <w:color w:val="365F91"/>
          <w:sz w:val="36"/>
          <w:szCs w:val="36"/>
        </w:rPr>
      </w:pPr>
      <w:r>
        <w:rPr>
          <w:rFonts w:ascii="Cambria" w:hAnsi="Cambria" w:cs="Calibri"/>
          <w:b/>
          <w:bCs/>
          <w:color w:val="365F91"/>
          <w:sz w:val="36"/>
          <w:szCs w:val="36"/>
        </w:rPr>
        <w:t>Sokrates og Platon</w:t>
      </w:r>
    </w:p>
    <w:p w14:paraId="16AE98B3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lastRenderedPageBreak/>
        <w:t xml:space="preserve">Der findes en </w:t>
      </w:r>
      <w:r>
        <w:rPr>
          <w:rFonts w:ascii="Calibri" w:hAnsi="Calibri" w:cs="Calibri"/>
          <w:sz w:val="36"/>
          <w:szCs w:val="36"/>
        </w:rPr>
        <w:t xml:space="preserve">absolut sandhed, som mennesket gennem indsigt skal søge frem mod. </w:t>
      </w:r>
    </w:p>
    <w:p w14:paraId="4324C3E6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Indsigt og etik hænger sammen. Man kan ikke have indsigt og samtidig have en dårlig moral. Ved man, hvad det gode er, vil man gøre det gode.</w:t>
      </w:r>
    </w:p>
    <w:p w14:paraId="747C2339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59602549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Den idealistiske filosofi: </w:t>
      </w:r>
    </w:p>
    <w:p w14:paraId="58834ACB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Dualistisk verdensbillede bestående af </w:t>
      </w:r>
    </w:p>
    <w:p w14:paraId="3FD92F74" w14:textId="77777777" w:rsidR="00D64748" w:rsidRDefault="00D64748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ideverden (kan alene begribes ved erkendelse) </w:t>
      </w:r>
    </w:p>
    <w:p w14:paraId="09FE4997" w14:textId="77777777" w:rsidR="00D64748" w:rsidRDefault="00D64748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og fænomenverden (kan umiddelbart sanses). </w:t>
      </w:r>
    </w:p>
    <w:p w14:paraId="7B59CE2A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Mennesket består af krop og sjæl. </w:t>
      </w:r>
    </w:p>
    <w:p w14:paraId="3F4716D2" w14:textId="77777777" w:rsidR="00D64748" w:rsidRDefault="00D64748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Sjælen hører oprindeligt </w:t>
      </w:r>
      <w:r>
        <w:rPr>
          <w:rFonts w:ascii="Calibri" w:eastAsia="Times New Roman" w:hAnsi="Calibri" w:cs="Calibri"/>
          <w:sz w:val="36"/>
          <w:szCs w:val="36"/>
        </w:rPr>
        <w:t xml:space="preserve">hjemme i ideverdenen og er dermed forbundet med evigheden. </w:t>
      </w:r>
    </w:p>
    <w:p w14:paraId="25434FFB" w14:textId="77777777" w:rsidR="00D64748" w:rsidRDefault="00D64748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Kroppen er bundet til fænomenverdenen og er dermed dødelig.</w:t>
      </w:r>
    </w:p>
    <w:p w14:paraId="226013EC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5AE90000" w14:textId="77777777" w:rsidR="00D64748" w:rsidRDefault="00D64748">
      <w:pPr>
        <w:pStyle w:val="NormalWeb"/>
        <w:spacing w:before="480" w:beforeAutospacing="0" w:after="0" w:afterAutospacing="0"/>
        <w:ind w:left="720"/>
        <w:rPr>
          <w:rFonts w:ascii="Cambria" w:hAnsi="Cambria" w:cs="Calibri"/>
          <w:color w:val="365F91"/>
          <w:sz w:val="36"/>
          <w:szCs w:val="36"/>
        </w:rPr>
      </w:pPr>
      <w:r>
        <w:rPr>
          <w:rFonts w:ascii="Cambria" w:hAnsi="Cambria" w:cs="Calibri"/>
          <w:b/>
          <w:bCs/>
          <w:color w:val="365F91"/>
          <w:sz w:val="36"/>
          <w:szCs w:val="36"/>
        </w:rPr>
        <w:t>Sofisterne</w:t>
      </w:r>
    </w:p>
    <w:p w14:paraId="37B1F3D7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Ikke forskere, men </w:t>
      </w:r>
      <w:r>
        <w:rPr>
          <w:rFonts w:ascii="Calibri" w:hAnsi="Calibri" w:cs="Calibri"/>
          <w:sz w:val="36"/>
          <w:szCs w:val="36"/>
        </w:rPr>
        <w:t>formidlere. Underviste i naturvidenskab, filosofi, logik, retorik og etik.</w:t>
      </w:r>
    </w:p>
    <w:p w14:paraId="40E451E7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Protagoras formulerer sofismens grundsyn: </w:t>
      </w:r>
    </w:p>
    <w:p w14:paraId="1226D9BF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Der findes ingen objektiv sandhed. </w:t>
      </w:r>
    </w:p>
    <w:p w14:paraId="777C2B28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Al viden er subjektiv. </w:t>
      </w:r>
    </w:p>
    <w:p w14:paraId="71909544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Når der ikke findes sikker viden, bliver alt den enkeltes skøn, dvs. alt er relativt. </w:t>
      </w:r>
    </w:p>
    <w:p w14:paraId="52BB35BB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Synet på moral, politik og religion afhænger af den enkeltes skøn</w:t>
      </w:r>
    </w:p>
    <w:p w14:paraId="730933A7" w14:textId="77777777" w:rsidR="00D64748" w:rsidRDefault="00D64748">
      <w:pPr>
        <w:pStyle w:val="NormalWeb"/>
        <w:spacing w:before="480" w:beforeAutospacing="0" w:after="0" w:afterAutospacing="0"/>
        <w:ind w:left="720"/>
        <w:rPr>
          <w:rFonts w:ascii="Cambria" w:hAnsi="Cambria" w:cs="Calibri"/>
          <w:color w:val="365F91"/>
          <w:sz w:val="32"/>
          <w:szCs w:val="32"/>
        </w:rPr>
      </w:pPr>
      <w:r>
        <w:rPr>
          <w:rFonts w:ascii="Cambria" w:hAnsi="Cambria" w:cs="Calibri"/>
          <w:b/>
          <w:bCs/>
          <w:color w:val="365F91"/>
          <w:sz w:val="32"/>
          <w:szCs w:val="32"/>
        </w:rPr>
        <w:t>Aristoteles</w:t>
      </w:r>
    </w:p>
    <w:p w14:paraId="430F7D03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 xml:space="preserve">Den første helhedsfilosof. </w:t>
      </w:r>
    </w:p>
    <w:p w14:paraId="443BB2EF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Tænker verden sammen i en universel helhed.</w:t>
      </w:r>
    </w:p>
    <w:p w14:paraId="414C424E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Naturvidenskabelige studier i fysik, botanik, zoologi og astronomi</w:t>
      </w:r>
    </w:p>
    <w:p w14:paraId="25988F1E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Studier i pædagogik, jura, sociologi, psykologi og kunst</w:t>
      </w:r>
    </w:p>
    <w:p w14:paraId="68B73123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Grundlægger af logikken som videnskab (om udsagns sandhedsværdi)</w:t>
      </w:r>
    </w:p>
    <w:p w14:paraId="56E4F13E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Moderne specialvidenskaber har deres oprindelse i Aristoteles’ universalteorier.</w:t>
      </w:r>
    </w:p>
    <w:p w14:paraId="2807B616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Elev af Platon. Modsat Platons optagethed af ideernes verden er Aristoteles optaget af det jordiske.</w:t>
      </w:r>
    </w:p>
    <w:p w14:paraId="4AE1264F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 xml:space="preserve">Afviser Platons idelære. </w:t>
      </w:r>
    </w:p>
    <w:p w14:paraId="3A878701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 xml:space="preserve">Tingenes væsen er </w:t>
      </w:r>
      <w:r>
        <w:rPr>
          <w:rFonts w:ascii="Calibri" w:eastAsia="Times New Roman" w:hAnsi="Calibri" w:cs="Calibri"/>
          <w:i/>
          <w:iCs/>
          <w:sz w:val="32"/>
          <w:szCs w:val="32"/>
        </w:rPr>
        <w:t>form og stof</w:t>
      </w:r>
      <w:r>
        <w:rPr>
          <w:rFonts w:ascii="Calibri" w:eastAsia="Times New Roman" w:hAnsi="Calibri" w:cs="Calibri"/>
          <w:sz w:val="32"/>
          <w:szCs w:val="32"/>
        </w:rPr>
        <w:t xml:space="preserve">. </w:t>
      </w:r>
    </w:p>
    <w:p w14:paraId="7C531730" w14:textId="77777777" w:rsidR="00D64748" w:rsidRDefault="00D64748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 xml:space="preserve">Form er tingenes iboende muligheder, deres anlæg. </w:t>
      </w:r>
    </w:p>
    <w:p w14:paraId="1AAD86DF" w14:textId="77777777" w:rsidR="00D64748" w:rsidRDefault="00D64748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F.eks. har marmor (stof) anlæg for at blive en statue(form).</w:t>
      </w:r>
    </w:p>
    <w:p w14:paraId="0E1BEB5C" w14:textId="77777777" w:rsidR="00D64748" w:rsidRDefault="00D6474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 xml:space="preserve">Teleologisk opfattelse (telos=formål): Alle processer i universet (fra den fysiske verden til følelser og tanker) er styret af et formål, dvs. bestemt af stoffets muligheder. </w:t>
      </w:r>
    </w:p>
    <w:p w14:paraId="6020F3CC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B35CEF8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A51F596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54727C7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5CDBE2F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Skriveøvelser om Sokrates og Platon</w:t>
      </w:r>
    </w:p>
    <w:p w14:paraId="1105D018" w14:textId="77777777" w:rsidR="00D64748" w:rsidRDefault="00D647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 </w:t>
      </w:r>
    </w:p>
    <w:p w14:paraId="270CD2FB" w14:textId="77777777" w:rsidR="00D64748" w:rsidRDefault="00D64748">
      <w:pPr>
        <w:numPr>
          <w:ilvl w:val="1"/>
          <w:numId w:val="3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Læs om </w:t>
      </w:r>
      <w:r>
        <w:rPr>
          <w:rFonts w:eastAsia="Times New Roman"/>
        </w:rPr>
        <w:t>Sokrates og Platon på skolens klassiske hjemmeside</w:t>
      </w:r>
    </w:p>
    <w:p w14:paraId="3206ABBF" w14:textId="77777777" w:rsidR="00D64748" w:rsidRDefault="00D64748">
      <w:pPr>
        <w:pStyle w:val="NormalWeb"/>
        <w:spacing w:before="0" w:beforeAutospacing="0" w:after="0" w:afterAutospacing="0"/>
        <w:ind w:left="720"/>
      </w:pPr>
      <w:r>
        <w:t> </w:t>
      </w:r>
    </w:p>
    <w:p w14:paraId="44F77995" w14:textId="77777777" w:rsidR="00D64748" w:rsidRDefault="00D64748">
      <w:pPr>
        <w:numPr>
          <w:ilvl w:val="1"/>
          <w:numId w:val="5"/>
        </w:numPr>
        <w:textAlignment w:val="center"/>
        <w:rPr>
          <w:rFonts w:eastAsia="Times New Roman"/>
        </w:rPr>
      </w:pPr>
      <w:r>
        <w:rPr>
          <w:rFonts w:eastAsia="Times New Roman"/>
        </w:rPr>
        <w:t>Skriv en kort introduktion (ca. 10 linjer) til Sokrates liv og indsats </w:t>
      </w:r>
    </w:p>
    <w:p w14:paraId="65000FA2" w14:textId="77777777" w:rsidR="00D64748" w:rsidRDefault="00D64748">
      <w:pPr>
        <w:pStyle w:val="NormalWeb"/>
        <w:spacing w:before="0" w:beforeAutospacing="0" w:after="0" w:afterAutospacing="0"/>
        <w:ind w:left="1260"/>
      </w:pPr>
      <w:r>
        <w:t> </w:t>
      </w:r>
    </w:p>
    <w:p w14:paraId="4E64B722" w14:textId="77777777" w:rsidR="00D64748" w:rsidRDefault="00D64748">
      <w:pPr>
        <w:numPr>
          <w:ilvl w:val="1"/>
          <w:numId w:val="7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Skriv en kort introduktion (ca. 10 linjer) til Platons liv og forfatterskab 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061B"/>
    <w:multiLevelType w:val="multilevel"/>
    <w:tmpl w:val="E36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272754">
    <w:abstractNumId w:val="0"/>
  </w:num>
  <w:num w:numId="2" w16cid:durableId="1295409589">
    <w:abstractNumId w:val="0"/>
    <w:lvlOverride w:ilvl="1">
      <w:lvl w:ilvl="1">
        <w:numFmt w:val="decimal"/>
        <w:lvlText w:val="%2."/>
        <w:lvlJc w:val="left"/>
      </w:lvl>
    </w:lvlOverride>
  </w:num>
  <w:num w:numId="3" w16cid:durableId="2127382942">
    <w:abstractNumId w:val="0"/>
    <w:lvlOverride w:ilvl="1">
      <w:startOverride w:val="1"/>
    </w:lvlOverride>
  </w:num>
  <w:num w:numId="4" w16cid:durableId="894976540">
    <w:abstractNumId w:val="0"/>
    <w:lvlOverride w:ilvl="1">
      <w:lvl w:ilvl="1">
        <w:numFmt w:val="decimal"/>
        <w:lvlText w:val="%2."/>
        <w:lvlJc w:val="left"/>
      </w:lvl>
    </w:lvlOverride>
  </w:num>
  <w:num w:numId="5" w16cid:durableId="1550606019">
    <w:abstractNumId w:val="0"/>
    <w:lvlOverride w:ilvl="1">
      <w:startOverride w:val="2"/>
    </w:lvlOverride>
  </w:num>
  <w:num w:numId="6" w16cid:durableId="1996102948">
    <w:abstractNumId w:val="0"/>
    <w:lvlOverride w:ilvl="1">
      <w:lvl w:ilvl="1">
        <w:numFmt w:val="decimal"/>
        <w:lvlText w:val="%2."/>
        <w:lvlJc w:val="left"/>
      </w:lvl>
    </w:lvlOverride>
  </w:num>
  <w:num w:numId="7" w16cid:durableId="1352684405">
    <w:abstractNumId w:val="0"/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48"/>
    <w:rsid w:val="00D64748"/>
    <w:rsid w:val="00D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356F8"/>
  <w15:chartTrackingRefBased/>
  <w15:docId w15:val="{16F91046-24CD-408F-A680-5763846B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7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2026-01-30T08:01:00Z</dcterms:created>
  <dcterms:modified xsi:type="dcterms:W3CDTF">2026-01-30T08:01:00Z</dcterms:modified>
</cp:coreProperties>
</file>