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0211E">
      <w:pPr>
        <w:pStyle w:val="NormalWeb"/>
        <w:spacing w:before="0" w:beforeAutospacing="0" w:after="300" w:afterAutospacing="0"/>
        <w:rPr>
          <w:rFonts w:ascii="Calibri" w:hAnsi="Calibri" w:cs="Calibri"/>
          <w:color w:val="17365D"/>
          <w:sz w:val="34"/>
          <w:szCs w:val="34"/>
        </w:rPr>
      </w:pPr>
      <w:bookmarkStart w:id="0" w:name="_GoBack"/>
      <w:bookmarkEnd w:id="0"/>
      <w:r>
        <w:rPr>
          <w:rFonts w:ascii="Calibri" w:hAnsi="Calibri" w:cs="Calibri"/>
          <w:color w:val="17365D"/>
          <w:sz w:val="34"/>
          <w:szCs w:val="34"/>
        </w:rPr>
        <w:t>Græsk filosofihistorie - Kort introduktion</w:t>
      </w:r>
    </w:p>
    <w:p w:rsidR="00000000" w:rsidRDefault="0080211E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2. marts 2015</w:t>
      </w:r>
    </w:p>
    <w:p w:rsidR="00000000" w:rsidRDefault="0080211E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10:33</w:t>
      </w:r>
    </w:p>
    <w:p w:rsidR="00000000" w:rsidRDefault="0080211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80211E">
      <w:pPr>
        <w:numPr>
          <w:ilvl w:val="1"/>
          <w:numId w:val="1"/>
        </w:numPr>
        <w:ind w:left="488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507 f.Kr.: Demokratiet indføres</w:t>
      </w:r>
    </w:p>
    <w:p w:rsidR="00000000" w:rsidRDefault="0080211E">
      <w:pPr>
        <w:numPr>
          <w:ilvl w:val="1"/>
          <w:numId w:val="1"/>
        </w:numPr>
        <w:ind w:left="488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499-479 f.Kr.: Perserkrigene mellem Perserne og et forbund af de græske bystater. Vindes af grækerne.</w:t>
      </w:r>
    </w:p>
    <w:p w:rsidR="00000000" w:rsidRDefault="0080211E">
      <w:pPr>
        <w:numPr>
          <w:ilvl w:val="1"/>
          <w:numId w:val="1"/>
        </w:numPr>
        <w:ind w:left="488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 xml:space="preserve">431-404 f.Kr.: Den </w:t>
      </w:r>
      <w:r>
        <w:rPr>
          <w:rFonts w:ascii="Calibri" w:eastAsia="Times New Roman" w:hAnsi="Calibri" w:cs="Calibri"/>
          <w:sz w:val="28"/>
          <w:szCs w:val="28"/>
        </w:rPr>
        <w:t>peloponnesiske krig ml. Det deliske søforbund (Athen = demokratisk styre) og Det peloponnesiske forbund (Sparta = oligarkisk styre). Vindes af Sparta.</w:t>
      </w:r>
    </w:p>
    <w:p w:rsidR="00000000" w:rsidRDefault="0080211E">
      <w:pPr>
        <w:numPr>
          <w:ilvl w:val="1"/>
          <w:numId w:val="1"/>
        </w:numPr>
        <w:spacing w:before="480"/>
        <w:ind w:left="488"/>
        <w:textAlignment w:val="center"/>
        <w:rPr>
          <w:rFonts w:ascii="Calibri" w:eastAsia="Times New Roman" w:hAnsi="Calibri" w:cs="Calibri"/>
          <w:color w:val="365F91"/>
          <w:sz w:val="22"/>
          <w:szCs w:val="22"/>
        </w:rPr>
      </w:pPr>
      <w:r>
        <w:rPr>
          <w:rFonts w:ascii="Cambria" w:eastAsia="Times New Roman" w:hAnsi="Cambria" w:cs="Calibri"/>
          <w:b/>
          <w:bCs/>
          <w:color w:val="365F91"/>
          <w:sz w:val="28"/>
          <w:szCs w:val="28"/>
        </w:rPr>
        <w:t>Førsokratisk filosofi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Naturlige forklaringer ud fra metodisk og systematisk tænkemåde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Opgivelse af mytolo</w:t>
      </w:r>
      <w:r>
        <w:rPr>
          <w:rFonts w:ascii="Calibri" w:hAnsi="Calibri" w:cs="Calibri"/>
          <w:sz w:val="22"/>
          <w:szCs w:val="22"/>
        </w:rPr>
        <w:t>giske forklaringsmodel baseret på tro.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Søgen efter tingenes væsen frem for fænomeners tilfældige egenskaber = filosofi (videnskab)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Arke</w:t>
      </w:r>
      <w:r>
        <w:rPr>
          <w:rFonts w:ascii="Calibri" w:hAnsi="Calibri" w:cs="Calibri"/>
          <w:sz w:val="22"/>
          <w:szCs w:val="22"/>
        </w:rPr>
        <w:t>: urstof eller princip (= tingens egentlige væsen)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Arke </w:t>
      </w:r>
      <w:r>
        <w:rPr>
          <w:rFonts w:ascii="Calibri" w:hAnsi="Calibri" w:cs="Calibri"/>
          <w:sz w:val="22"/>
          <w:szCs w:val="22"/>
        </w:rPr>
        <w:t>kan være jord, luft, ild, vand eller atomet (ingen enighed om det</w:t>
      </w:r>
      <w:r>
        <w:rPr>
          <w:rFonts w:ascii="Calibri" w:hAnsi="Calibri" w:cs="Calibri"/>
          <w:sz w:val="22"/>
          <w:szCs w:val="22"/>
        </w:rPr>
        <w:t>te blandt førsokratikerne)</w:t>
      </w:r>
    </w:p>
    <w:p w:rsidR="00000000" w:rsidRDefault="0080211E">
      <w:pPr>
        <w:pStyle w:val="NormalWeb"/>
        <w:spacing w:before="480" w:beforeAutospacing="0" w:after="0" w:afterAutospacing="0"/>
        <w:ind w:left="488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Sofisterne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Ikke forskere, men formidlere. Underviste i naturvidenskab, filosofi, logik, retorik og etik.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Protagoras formulerer sofismens grundsyn: der findes ingen objektiv sandhed. Al viden er subjektiv. Når der ikke findes sikk</w:t>
      </w:r>
      <w:r>
        <w:rPr>
          <w:rFonts w:ascii="Calibri" w:hAnsi="Calibri" w:cs="Calibri"/>
          <w:sz w:val="22"/>
          <w:szCs w:val="22"/>
        </w:rPr>
        <w:t>er viden, bliver alt den enkeltes skøn, dvs. alt er relativt. Synet på moral, politik og religion afhænger af den enkeltes skøn</w:t>
      </w:r>
    </w:p>
    <w:p w:rsidR="00000000" w:rsidRDefault="0080211E">
      <w:pPr>
        <w:pStyle w:val="NormalWeb"/>
        <w:spacing w:before="480" w:beforeAutospacing="0" w:after="0" w:afterAutospacing="0"/>
        <w:ind w:left="488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Sokrates og Platon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Der findes en absolut sandhed, som mennesket gennem indsigt skal søge frem mod. 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Indsigt og etik hænger samme</w:t>
      </w:r>
      <w:r>
        <w:rPr>
          <w:rFonts w:ascii="Calibri" w:hAnsi="Calibri" w:cs="Calibri"/>
          <w:sz w:val="22"/>
          <w:szCs w:val="22"/>
        </w:rPr>
        <w:t>n. Man kan ikke have indsigt og samtidig have en dårlig moral. Ved man, hvad det gode er, vil man gøre det gode.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Den idealistiske filosofi: dualistisk verdensbillede bestående af ideverden (kan alene begribes ved erkendelse) og fænomenverden (kan umiddelba</w:t>
      </w:r>
      <w:r>
        <w:rPr>
          <w:rFonts w:ascii="Calibri" w:hAnsi="Calibri" w:cs="Calibri"/>
          <w:sz w:val="22"/>
          <w:szCs w:val="22"/>
        </w:rPr>
        <w:t>rt sanses). Mennesket består af krop og sjæl. Sjælen hører oprindeligt hjemme i ideverdenen og er dermed forbundet med evigheden. Kroppen er bundet til fænomenverdenen og er dermed dødelig.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80211E">
      <w:pPr>
        <w:pStyle w:val="NormalWeb"/>
        <w:spacing w:before="480" w:beforeAutospacing="0" w:after="0" w:afterAutospacing="0"/>
        <w:ind w:left="488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Aristoteles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 første </w:t>
      </w:r>
      <w:r>
        <w:rPr>
          <w:rFonts w:ascii="Calibri" w:hAnsi="Calibri" w:cs="Calibri"/>
          <w:sz w:val="22"/>
          <w:szCs w:val="22"/>
        </w:rPr>
        <w:t>helhedsfilosof. Tænker verden sammen i en universel helhed.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Naturvidenskabelige studier i fysik, botanik, zoologi og astronomi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Studier i pædagogik, jura, sociologi, psykologi og kunst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Grundlægger af logikken som videnskab (om udsagns sandhedsværdi)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Moderne</w:t>
      </w:r>
      <w:r>
        <w:rPr>
          <w:rFonts w:ascii="Calibri" w:hAnsi="Calibri" w:cs="Calibri"/>
          <w:sz w:val="22"/>
          <w:szCs w:val="22"/>
        </w:rPr>
        <w:t xml:space="preserve"> specialvidenskaber har deres oprindelse i Aristoteles’ universalteorier.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Elev af Platon. Modsat Platons optagethed af ideernes verden er Aristoteles optaget af det jordiske.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Afviser Platons idelære. 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Tingenes væsen er </w:t>
      </w:r>
      <w:r>
        <w:rPr>
          <w:rFonts w:ascii="Calibri" w:hAnsi="Calibri" w:cs="Calibri"/>
          <w:i/>
          <w:iCs/>
          <w:sz w:val="22"/>
          <w:szCs w:val="22"/>
        </w:rPr>
        <w:t>form og stof</w:t>
      </w:r>
      <w:r>
        <w:rPr>
          <w:rFonts w:ascii="Calibri" w:hAnsi="Calibri" w:cs="Calibri"/>
          <w:sz w:val="22"/>
          <w:szCs w:val="22"/>
        </w:rPr>
        <w:t>. Form er tingenes iboend</w:t>
      </w:r>
      <w:r>
        <w:rPr>
          <w:rFonts w:ascii="Calibri" w:hAnsi="Calibri" w:cs="Calibri"/>
          <w:sz w:val="22"/>
          <w:szCs w:val="22"/>
        </w:rPr>
        <w:t>e muligheder, deres anlæg. (F.eks. har marmor anlæg for at blive en statue).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Teleologisk opfattelse (telos=formål): Alle processer i universet (fra den fysiske verden til følelser og tanker) er styret af et formål, dvs. bestemt af stoffets muligheder. 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Skriveøvelser om Sokrates og Platon</w:t>
      </w:r>
    </w:p>
    <w:p w:rsidR="00000000" w:rsidRDefault="0080211E">
      <w:pPr>
        <w:pStyle w:val="NormalWeb"/>
        <w:spacing w:before="0" w:beforeAutospacing="0" w:after="0" w:afterAutospacing="0"/>
        <w:ind w:left="488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 </w:t>
      </w:r>
    </w:p>
    <w:p w:rsidR="00000000" w:rsidRDefault="0080211E">
      <w:pPr>
        <w:numPr>
          <w:ilvl w:val="1"/>
          <w:numId w:val="3"/>
        </w:numPr>
        <w:ind w:left="488"/>
        <w:textAlignment w:val="center"/>
        <w:rPr>
          <w:rFonts w:eastAsia="Times New Roman"/>
        </w:rPr>
      </w:pPr>
      <w:r>
        <w:rPr>
          <w:rFonts w:eastAsia="Times New Roman"/>
        </w:rPr>
        <w:t>Læs om Sokrates og Platon på skolens klassiske hjemmeside</w:t>
      </w:r>
    </w:p>
    <w:p w:rsidR="00000000" w:rsidRDefault="0080211E">
      <w:pPr>
        <w:pStyle w:val="NormalWeb"/>
        <w:spacing w:before="0" w:beforeAutospacing="0" w:after="0" w:afterAutospacing="0"/>
        <w:ind w:left="488"/>
      </w:pPr>
      <w:r>
        <w:t> </w:t>
      </w:r>
    </w:p>
    <w:p w:rsidR="00000000" w:rsidRDefault="0080211E">
      <w:pPr>
        <w:numPr>
          <w:ilvl w:val="1"/>
          <w:numId w:val="5"/>
        </w:numPr>
        <w:ind w:left="488"/>
        <w:textAlignment w:val="center"/>
        <w:rPr>
          <w:rFonts w:eastAsia="Times New Roman"/>
        </w:rPr>
      </w:pPr>
      <w:r>
        <w:rPr>
          <w:rFonts w:eastAsia="Times New Roman"/>
        </w:rPr>
        <w:t>Skriv en kort introduktion (ca. 10 linjer) til Sokrates liv og indsats </w:t>
      </w:r>
    </w:p>
    <w:p w:rsidR="00000000" w:rsidRDefault="0080211E">
      <w:pPr>
        <w:pStyle w:val="NormalWeb"/>
        <w:spacing w:before="0" w:beforeAutospacing="0" w:after="0" w:afterAutospacing="0"/>
        <w:ind w:left="1028"/>
      </w:pPr>
      <w:r>
        <w:t> </w:t>
      </w:r>
    </w:p>
    <w:p w:rsidR="00000000" w:rsidRDefault="0080211E">
      <w:pPr>
        <w:numPr>
          <w:ilvl w:val="1"/>
          <w:numId w:val="7"/>
        </w:numPr>
        <w:ind w:left="488"/>
        <w:textAlignment w:val="center"/>
        <w:rPr>
          <w:rFonts w:eastAsia="Times New Roman"/>
        </w:rPr>
      </w:pPr>
      <w:r>
        <w:rPr>
          <w:rFonts w:eastAsia="Times New Roman"/>
        </w:rPr>
        <w:t xml:space="preserve">Skriv en kort introduktion (ca. 10 linjer) til Platons liv og forfatterskab 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3074"/>
    <w:multiLevelType w:val="hybridMultilevel"/>
    <w:tmpl w:val="02EEC868"/>
    <w:lvl w:ilvl="0" w:tplc="DDCC8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C047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786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9ED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8842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943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7F2D8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2A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9CD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6135C"/>
    <w:multiLevelType w:val="multilevel"/>
    <w:tmpl w:val="B622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1"/>
    <w:lvlOverride w:ilvl="1">
      <w:startOverride w:val="1"/>
    </w:lvlOverride>
  </w:num>
  <w:num w:numId="4">
    <w:abstractNumId w:val="1"/>
    <w:lvlOverride w:ilvl="1">
      <w:lvl w:ilvl="1">
        <w:numFmt w:val="decimal"/>
        <w:lvlText w:val="%2."/>
        <w:lvlJc w:val="left"/>
      </w:lvl>
    </w:lvlOverride>
  </w:num>
  <w:num w:numId="5">
    <w:abstractNumId w:val="1"/>
    <w:lvlOverride w:ilvl="1">
      <w:startOverride w:val="2"/>
    </w:lvlOverride>
  </w:num>
  <w:num w:numId="6">
    <w:abstractNumId w:val="0"/>
  </w:num>
  <w:num w:numId="7">
    <w:abstractNumId w:val="0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1E"/>
    <w:rsid w:val="0080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8B3F-55B4-4DC3-8152-3C0126AC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2018-04-10T10:24:00Z</dcterms:created>
  <dcterms:modified xsi:type="dcterms:W3CDTF">2018-04-10T10:24:00Z</dcterms:modified>
</cp:coreProperties>
</file>