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6E6F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 xml:space="preserve">Mod Neaira </w:t>
      </w:r>
    </w:p>
    <w:p w14:paraId="17D05C96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F7CAC2D" w14:textId="77777777" w:rsidR="008509A7" w:rsidRDefault="008509A7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7365D"/>
          <w:sz w:val="32"/>
          <w:szCs w:val="32"/>
        </w:rPr>
      </w:pPr>
      <w:r>
        <w:rPr>
          <w:rFonts w:ascii="Calibri" w:eastAsia="Times New Roman" w:hAnsi="Calibri" w:cs="Calibri"/>
          <w:color w:val="17365D"/>
          <w:sz w:val="32"/>
          <w:szCs w:val="32"/>
        </w:rPr>
        <w:t>Tre kategorier af kvinder:</w:t>
      </w:r>
    </w:p>
    <w:p w14:paraId="5CE61157" w14:textId="77777777" w:rsidR="008509A7" w:rsidRDefault="008509A7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Hetære: prostituerede - fornøjelse</w:t>
      </w:r>
    </w:p>
    <w:p w14:paraId="01340C07" w14:textId="77777777" w:rsidR="008509A7" w:rsidRDefault="008509A7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Friller: samlever - daglig pasning</w:t>
      </w:r>
    </w:p>
    <w:p w14:paraId="44BE1EB7" w14:textId="77777777" w:rsidR="008509A7" w:rsidRDefault="008509A7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Hustruer: har borgerret, føder ægtefødte børn og er hjemmets vogter</w:t>
      </w:r>
    </w:p>
    <w:p w14:paraId="4CAD38D5" w14:textId="77777777" w:rsidR="008509A7" w:rsidRDefault="008509A7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7365D"/>
          <w:sz w:val="32"/>
          <w:szCs w:val="32"/>
        </w:rPr>
      </w:pPr>
      <w:r>
        <w:rPr>
          <w:rFonts w:ascii="Calibri" w:eastAsia="Times New Roman" w:hAnsi="Calibri" w:cs="Calibri"/>
          <w:color w:val="17365D"/>
          <w:sz w:val="32"/>
          <w:szCs w:val="32"/>
        </w:rPr>
        <w:t>Borgerret:</w:t>
      </w:r>
    </w:p>
    <w:p w14:paraId="2C6A2D54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Kun børn af et </w:t>
      </w:r>
      <w:r>
        <w:rPr>
          <w:rFonts w:ascii="Calibri" w:hAnsi="Calibri" w:cs="Calibri"/>
          <w:sz w:val="22"/>
          <w:szCs w:val="22"/>
        </w:rPr>
        <w:t>lovformeligt ægteskab mellem to attiske borgere fik borgerrettigheder</w:t>
      </w:r>
    </w:p>
    <w:p w14:paraId="0059C337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EA2C457" w14:textId="77777777" w:rsidR="008509A7" w:rsidRDefault="008509A7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7365D"/>
          <w:sz w:val="32"/>
          <w:szCs w:val="32"/>
        </w:rPr>
      </w:pPr>
      <w:r>
        <w:rPr>
          <w:rFonts w:ascii="Calibri" w:eastAsia="Times New Roman" w:hAnsi="Calibri" w:cs="Calibri"/>
          <w:color w:val="17365D"/>
          <w:sz w:val="32"/>
          <w:szCs w:val="32"/>
        </w:rPr>
        <w:t>Personerne:</w:t>
      </w:r>
    </w:p>
    <w:p w14:paraId="1552E94B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Theomnestos: athensk politiker, anklager Neaira for at skade sin fjende Stefanos</w:t>
      </w:r>
    </w:p>
    <w:p w14:paraId="28CCA01F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Appolodoros: Athensk politiker, Theomnestos' svigerfar og svoger</w:t>
      </w:r>
    </w:p>
    <w:p w14:paraId="4D2781EF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Stefanos: Athensk borger, Neairas mand</w:t>
      </w:r>
    </w:p>
    <w:p w14:paraId="7FB09479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Neaira: sagens hovedperson, tidligere prostitueret, nu gift med Stefanos</w:t>
      </w:r>
    </w:p>
    <w:p w14:paraId="343CE051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Nikarete: Bordelejer, tidligere ejer af Neaira</w:t>
      </w:r>
    </w:p>
    <w:p w14:paraId="1E764EBB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Frynion: Neairas tidligere ejer</w:t>
      </w:r>
    </w:p>
    <w:p w14:paraId="3BB72477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BFEBC79" w14:textId="77777777" w:rsidR="008509A7" w:rsidRDefault="008509A7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7365D"/>
          <w:sz w:val="32"/>
          <w:szCs w:val="32"/>
        </w:rPr>
      </w:pPr>
      <w:r>
        <w:rPr>
          <w:rFonts w:ascii="Calibri" w:eastAsia="Times New Roman" w:hAnsi="Calibri" w:cs="Calibri"/>
          <w:color w:val="17365D"/>
          <w:sz w:val="32"/>
          <w:szCs w:val="32"/>
        </w:rPr>
        <w:t>Anklagen:</w:t>
      </w:r>
    </w:p>
    <w:p w14:paraId="76916697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Theomnestos  og Appolodoros: anklagerne</w:t>
      </w:r>
    </w:p>
    <w:p w14:paraId="431999C7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Neaira (og Stefanos): anklages for at være gift med Stefanos (dvs. i strid med loven at være hans hustru) uden at besidde attisk borgerret.</w:t>
      </w:r>
    </w:p>
    <w:p w14:paraId="482D48ED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C537994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runde </w:t>
      </w:r>
    </w:p>
    <w:p w14:paraId="796BCF32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arbejder i 6 grupper af 3-4 personer. </w:t>
      </w:r>
    </w:p>
    <w:p w14:paraId="37F8A65A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Grupperne arbejder to og to med de samme opgaver.</w:t>
      </w:r>
    </w:p>
    <w:p w14:paraId="5912A7D4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 grupper forbereder sig på at kunne fremlægge i 2. runde.</w:t>
      </w:r>
    </w:p>
    <w:p w14:paraId="3BBD67C0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C4214A1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E1E4333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2.runde </w:t>
      </w:r>
    </w:p>
    <w:p w14:paraId="2A04C5C8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Tre grupper fremlægger for hele klassen. Hvis en "a-gruppe" fremlægger, kommenterer "b-gruppen" fremlæggelsen og kommer med evt. tilføjelser</w:t>
      </w:r>
    </w:p>
    <w:p w14:paraId="142463B9" w14:textId="77777777" w:rsidR="008509A7" w:rsidRDefault="008509A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55"/>
        <w:gridCol w:w="8663"/>
      </w:tblGrid>
      <w:tr w:rsidR="00000000" w14:paraId="334F8E98" w14:textId="77777777">
        <w:trPr>
          <w:divId w:val="864633"/>
        </w:trPr>
        <w:tc>
          <w:tcPr>
            <w:tcW w:w="9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12706B" w14:textId="77777777" w:rsidR="008509A7" w:rsidRDefault="008509A7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2E75B5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2E75B5"/>
                <w:sz w:val="22"/>
                <w:szCs w:val="22"/>
              </w:rPr>
              <w:t>1a + 1b</w:t>
            </w:r>
          </w:p>
        </w:tc>
        <w:tc>
          <w:tcPr>
            <w:tcW w:w="8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6FAC44" w14:textId="77777777" w:rsidR="008509A7" w:rsidRDefault="008509A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83055B1" w14:textId="77777777" w:rsidR="008509A7" w:rsidRDefault="008509A7">
            <w:pPr>
              <w:numPr>
                <w:ilvl w:val="1"/>
                <w:numId w:val="3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Lav en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tidslinje over Neairas liv. I behøver ikke at sætte årstal på tidslinjen.</w:t>
            </w:r>
          </w:p>
          <w:p w14:paraId="6154287D" w14:textId="77777777" w:rsidR="008509A7" w:rsidRDefault="008509A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4A21E4C" w14:textId="77777777" w:rsidR="008509A7" w:rsidRDefault="008509A7">
            <w:pPr>
              <w:numPr>
                <w:ilvl w:val="1"/>
                <w:numId w:val="4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Beskriv hendes livsforløb. </w:t>
            </w:r>
          </w:p>
          <w:p w14:paraId="0A71301D" w14:textId="77777777" w:rsidR="008509A7" w:rsidRDefault="008509A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437CFE5C" w14:textId="77777777">
        <w:trPr>
          <w:divId w:val="864633"/>
        </w:trPr>
        <w:tc>
          <w:tcPr>
            <w:tcW w:w="9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1E30B1" w14:textId="77777777" w:rsidR="008509A7" w:rsidRDefault="008509A7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2E75B5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2E75B5"/>
                <w:sz w:val="22"/>
                <w:szCs w:val="22"/>
              </w:rPr>
              <w:t>2a + 2b</w:t>
            </w:r>
          </w:p>
        </w:tc>
        <w:tc>
          <w:tcPr>
            <w:tcW w:w="86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3EB71D" w14:textId="77777777" w:rsidR="008509A7" w:rsidRDefault="008509A7">
            <w:pPr>
              <w:pStyle w:val="NormalWeb"/>
              <w:spacing w:before="0" w:beforeAutospacing="0" w:after="20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C03B1F1" w14:textId="77777777" w:rsidR="008509A7" w:rsidRDefault="008509A7">
            <w:pPr>
              <w:numPr>
                <w:ilvl w:val="1"/>
                <w:numId w:val="6"/>
              </w:numPr>
              <w:spacing w:after="200"/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Undersøg, hvordan domstolen i Athen fungerede.</w:t>
            </w:r>
          </w:p>
          <w:p w14:paraId="34CE65A9" w14:textId="77777777" w:rsidR="008509A7" w:rsidRDefault="008509A7">
            <w:pPr>
              <w:pStyle w:val="NormalWeb"/>
              <w:spacing w:before="0" w:beforeAutospacing="0" w:after="20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http://klassisk.ribekatedralskole.dk/historie/athenpolsystem/domstole.htm</w:t>
              </w:r>
            </w:hyperlink>
          </w:p>
          <w:p w14:paraId="6D1EC8A7" w14:textId="77777777" w:rsidR="008509A7" w:rsidRDefault="008509A7">
            <w:pPr>
              <w:numPr>
                <w:ilvl w:val="1"/>
                <w:numId w:val="7"/>
              </w:numPr>
              <w:spacing w:after="200"/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er retssagens stridsspørgsmål, dvs. hvilken lov er Neaira og Stefanos anklaget for at overtræde? </w:t>
            </w:r>
          </w:p>
          <w:p w14:paraId="51049AB7" w14:textId="77777777" w:rsidR="008509A7" w:rsidRDefault="008509A7">
            <w:pPr>
              <w:numPr>
                <w:ilvl w:val="1"/>
                <w:numId w:val="7"/>
              </w:numPr>
              <w:spacing w:after="200"/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Hvad er straffen for overtrædelse af denne lov?</w:t>
            </w:r>
          </w:p>
          <w:p w14:paraId="38B0359F" w14:textId="77777777" w:rsidR="008509A7" w:rsidRDefault="008509A7">
            <w:pPr>
              <w:numPr>
                <w:ilvl w:val="1"/>
                <w:numId w:val="7"/>
              </w:numPr>
              <w:spacing w:after="200"/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Hvad kan formålet med loven være?</w:t>
            </w:r>
          </w:p>
          <w:p w14:paraId="5B05F81E" w14:textId="77777777" w:rsidR="008509A7" w:rsidRDefault="008509A7">
            <w:pPr>
              <w:numPr>
                <w:ilvl w:val="1"/>
                <w:numId w:val="7"/>
              </w:numPr>
              <w:spacing w:after="200"/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Meget tyder på, at anklageren har nogle bagvedliggende motiver til at anklage Stefanos. Se afsnit 43-44:</w:t>
            </w:r>
          </w:p>
          <w:p w14:paraId="0F0C6B32" w14:textId="77777777" w:rsidR="008509A7" w:rsidRDefault="008509A7">
            <w:pPr>
              <w:numPr>
                <w:ilvl w:val="2"/>
                <w:numId w:val="7"/>
              </w:numPr>
              <w:spacing w:after="200"/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fortæller anklageren her, som kan være hans egentlige anklage mod Stefanos og hans motiv til at ønske Stefanos dømt?</w:t>
            </w:r>
          </w:p>
          <w:p w14:paraId="6A791DE6" w14:textId="77777777" w:rsidR="008509A7" w:rsidRDefault="008509A7">
            <w:pPr>
              <w:pStyle w:val="NormalWeb"/>
              <w:spacing w:before="0" w:beforeAutospacing="0" w:after="200" w:afterAutospacing="0"/>
              <w:ind w:left="12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6D65A035" w14:textId="77777777">
        <w:trPr>
          <w:divId w:val="864633"/>
        </w:trPr>
        <w:tc>
          <w:tcPr>
            <w:tcW w:w="9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36E84A" w14:textId="77777777" w:rsidR="008509A7" w:rsidRDefault="008509A7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2E75B5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2E75B5"/>
                <w:sz w:val="22"/>
                <w:szCs w:val="22"/>
              </w:rPr>
              <w:lastRenderedPageBreak/>
              <w:t>3a + 3b</w:t>
            </w:r>
          </w:p>
        </w:tc>
        <w:tc>
          <w:tcPr>
            <w:tcW w:w="86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7A22B2" w14:textId="77777777" w:rsidR="008509A7" w:rsidRDefault="008509A7">
            <w:pPr>
              <w:pStyle w:val="NormalWeb"/>
              <w:spacing w:before="0" w:beforeAutospacing="0" w:after="20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E91C8E7" w14:textId="77777777" w:rsidR="008509A7" w:rsidRDefault="008509A7">
            <w:pPr>
              <w:numPr>
                <w:ilvl w:val="1"/>
                <w:numId w:val="9"/>
              </w:numPr>
              <w:spacing w:after="200"/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Hvordan er Neairas sociale position, og hvordan tror I, at hun som hetære vurderes af det omgivne samfund?</w:t>
            </w:r>
          </w:p>
          <w:p w14:paraId="59D50F46" w14:textId="77777777" w:rsidR="008509A7" w:rsidRDefault="008509A7">
            <w:pPr>
              <w:numPr>
                <w:ilvl w:val="1"/>
                <w:numId w:val="9"/>
              </w:numPr>
              <w:spacing w:after="200"/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Med hvilke argumenter ”beviser” anklageren, at Neaira tidligere har været prostitueret?</w:t>
            </w:r>
          </w:p>
          <w:p w14:paraId="5DB7C399" w14:textId="77777777" w:rsidR="008509A7" w:rsidRDefault="008509A7">
            <w:pPr>
              <w:numPr>
                <w:ilvl w:val="1"/>
                <w:numId w:val="9"/>
              </w:numPr>
              <w:spacing w:after="200"/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Hvordan udnytter Stefanos Neairas position som sin hustru overfor hendes kunder. </w:t>
            </w:r>
          </w:p>
          <w:p w14:paraId="6DD7B63F" w14:textId="77777777" w:rsidR="008509A7" w:rsidRDefault="008509A7">
            <w:pPr>
              <w:numPr>
                <w:ilvl w:val="1"/>
                <w:numId w:val="9"/>
              </w:numPr>
              <w:spacing w:after="200"/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Hvilken sammenhæng er der mellem sagen om mordet på Eratosthenes (Lysias' retstale) og denne sag?</w:t>
            </w:r>
          </w:p>
          <w:p w14:paraId="07777DC9" w14:textId="77777777" w:rsidR="008509A7" w:rsidRDefault="008509A7">
            <w:pPr>
              <w:numPr>
                <w:ilvl w:val="1"/>
                <w:numId w:val="9"/>
              </w:numPr>
              <w:spacing w:after="200"/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Sammenlign Neairas liv og udfoldelsesmuligheder, som det beskrives i denne tale, med Eufiletos' kone  i "Forsvarstalen i sagen om mordet på Eratosthenes".</w:t>
            </w:r>
          </w:p>
          <w:p w14:paraId="0E2134E8" w14:textId="77777777" w:rsidR="008509A7" w:rsidRDefault="008509A7">
            <w:pPr>
              <w:numPr>
                <w:ilvl w:val="1"/>
                <w:numId w:val="9"/>
              </w:numPr>
              <w:spacing w:after="200"/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Hvad kan man udlede om den prostitueredes liv og udfoldelsesmuligheder set i forhold til den gifte kvindes?</w:t>
            </w:r>
          </w:p>
          <w:p w14:paraId="2AF75431" w14:textId="77777777" w:rsidR="008509A7" w:rsidRDefault="008509A7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6EC00B3C" w14:textId="77777777" w:rsidR="008509A7" w:rsidRDefault="008509A7">
      <w:pPr>
        <w:divId w:val="864633"/>
        <w:rPr>
          <w:rFonts w:eastAsia="Times New Roman"/>
        </w:rPr>
      </w:pP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B7C"/>
    <w:multiLevelType w:val="multilevel"/>
    <w:tmpl w:val="3BEC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547A5"/>
    <w:multiLevelType w:val="multilevel"/>
    <w:tmpl w:val="B0F4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A0A71"/>
    <w:multiLevelType w:val="multilevel"/>
    <w:tmpl w:val="A19C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E4DD3"/>
    <w:multiLevelType w:val="multilevel"/>
    <w:tmpl w:val="C0DC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8549929">
    <w:abstractNumId w:val="3"/>
  </w:num>
  <w:num w:numId="2" w16cid:durableId="622927768">
    <w:abstractNumId w:val="1"/>
  </w:num>
  <w:num w:numId="3" w16cid:durableId="863400736">
    <w:abstractNumId w:val="1"/>
    <w:lvlOverride w:ilvl="1">
      <w:startOverride w:val="1"/>
    </w:lvlOverride>
  </w:num>
  <w:num w:numId="4" w16cid:durableId="1811703672">
    <w:abstractNumId w:val="1"/>
    <w:lvlOverride w:ilvl="1">
      <w:startOverride w:val="2"/>
    </w:lvlOverride>
  </w:num>
  <w:num w:numId="5" w16cid:durableId="1784616182">
    <w:abstractNumId w:val="0"/>
  </w:num>
  <w:num w:numId="6" w16cid:durableId="1472945255">
    <w:abstractNumId w:val="0"/>
    <w:lvlOverride w:ilvl="1">
      <w:startOverride w:val="1"/>
    </w:lvlOverride>
  </w:num>
  <w:num w:numId="7" w16cid:durableId="316961422">
    <w:abstractNumId w:val="0"/>
    <w:lvlOverride w:ilvl="1">
      <w:startOverride w:val="2"/>
    </w:lvlOverride>
  </w:num>
  <w:num w:numId="8" w16cid:durableId="1977909060">
    <w:abstractNumId w:val="2"/>
  </w:num>
  <w:num w:numId="9" w16cid:durableId="13852287">
    <w:abstractNumId w:val="2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A7"/>
    <w:rsid w:val="002F7F9F"/>
    <w:rsid w:val="0085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4D9ED"/>
  <w15:chartTrackingRefBased/>
  <w15:docId w15:val="{CD1C3929-3D5F-48E2-9BE3-46E1A716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lassisk.ribekatedralskole.dk/historie/athenpolsystem/domstol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2026-04-27T07:26:00Z</dcterms:created>
  <dcterms:modified xsi:type="dcterms:W3CDTF">2026-04-27T07:26:00Z</dcterms:modified>
</cp:coreProperties>
</file>