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2CD6" w14:textId="77777777" w:rsidR="0079634A" w:rsidRPr="008C703F" w:rsidRDefault="0079634A" w:rsidP="0079634A">
      <w:pPr>
        <w:pStyle w:val="Overskrift1"/>
      </w:pPr>
      <w:bookmarkStart w:id="0" w:name="_Toc132032753"/>
      <w:r w:rsidRPr="008C703F">
        <w:t xml:space="preserve">Deskriptiv statistik - </w:t>
      </w:r>
      <w:proofErr w:type="spellStart"/>
      <w:r w:rsidRPr="008C703F">
        <w:t>Ugrupperede</w:t>
      </w:r>
      <w:proofErr w:type="spellEnd"/>
      <w:r w:rsidRPr="008C703F">
        <w:t xml:space="preserve"> observationer</w:t>
      </w:r>
      <w:bookmarkEnd w:id="0"/>
    </w:p>
    <w:p w14:paraId="3DC8E8EE" w14:textId="77777777" w:rsidR="0079634A" w:rsidRDefault="0079634A" w:rsidP="0079634A">
      <w:pPr>
        <w:spacing w:after="0"/>
      </w:pPr>
    </w:p>
    <w:p w14:paraId="5F9CCE79" w14:textId="77777777" w:rsidR="0079634A" w:rsidRDefault="0079634A" w:rsidP="0079634A">
      <w:r>
        <w:t xml:space="preserve">Deskriptiv statistik handler om at præsentere og beskrive </w:t>
      </w:r>
      <w:proofErr w:type="spellStart"/>
      <w:r>
        <w:t>talmaterialer</w:t>
      </w:r>
      <w:proofErr w:type="spellEnd"/>
      <w:r>
        <w:t xml:space="preserve"> hensigtsmæssigt for at få overblik og indsigt.</w:t>
      </w:r>
    </w:p>
    <w:p w14:paraId="1DA9D3E5" w14:textId="77777777" w:rsidR="0079634A" w:rsidRDefault="0079634A" w:rsidP="0079634A">
      <w:r>
        <w:t xml:space="preserve">Vi tager udgangspunkt i et eksempel: En hf-klasse er blevet spurgt om, hvor mange lande de har besøgt. Der er </w:t>
      </w:r>
      <m:oMath>
        <m:r>
          <w:rPr>
            <w:rFonts w:ascii="Cambria Math" w:hAnsi="Cambria Math"/>
          </w:rPr>
          <m:t>25</m:t>
        </m:r>
      </m:oMath>
      <w:r>
        <w:rPr>
          <w:rFonts w:eastAsiaTheme="minorEastAsia"/>
        </w:rPr>
        <w:t xml:space="preserve"> elever i klassen og s</w:t>
      </w:r>
      <w:proofErr w:type="spellStart"/>
      <w:r>
        <w:t>varene</w:t>
      </w:r>
      <w:proofErr w:type="spellEnd"/>
      <w:r>
        <w:t xml:space="preserve"> er her i tilfældig rækkefølge:</w:t>
      </w:r>
    </w:p>
    <w:p w14:paraId="1732CD2A" w14:textId="77777777" w:rsidR="0079634A" w:rsidRPr="00BB1D9A" w:rsidRDefault="0079634A" w:rsidP="0079634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8, 4, 16, 8, 9, 6, 16, 19, 7, 6, 4, 8, 11, 8, 9, 6, 9, 10, 11, 8, 14, 4, 6, 7, 10</m:t>
          </m:r>
        </m:oMath>
      </m:oMathPara>
    </w:p>
    <w:p w14:paraId="12F576FD" w14:textId="77777777" w:rsidR="0079634A" w:rsidRDefault="0079634A" w:rsidP="0079634A">
      <w:r>
        <w:t xml:space="preserve">Dette talmateriale er vores </w:t>
      </w:r>
      <w:r>
        <w:rPr>
          <w:b/>
          <w:bCs/>
        </w:rPr>
        <w:t>observationssæt</w:t>
      </w:r>
      <w:r>
        <w:t xml:space="preserve"> og hvert tal kaldes en </w:t>
      </w:r>
      <w:r>
        <w:rPr>
          <w:b/>
          <w:bCs/>
        </w:rPr>
        <w:t>observation</w:t>
      </w:r>
      <w:r>
        <w:t>.</w:t>
      </w:r>
    </w:p>
    <w:p w14:paraId="6DE27A42" w14:textId="77777777" w:rsidR="0079634A" w:rsidRDefault="0079634A" w:rsidP="0079634A">
      <w:r>
        <w:t>Vi laver først et observationsskema:</w:t>
      </w:r>
    </w:p>
    <w:tbl>
      <w:tblPr>
        <w:tblStyle w:val="Tabel-Gitter"/>
        <w:tblW w:w="0" w:type="auto"/>
        <w:tblInd w:w="1191" w:type="dxa"/>
        <w:tblLook w:val="04A0" w:firstRow="1" w:lastRow="0" w:firstColumn="1" w:lastColumn="0" w:noHBand="0" w:noVBand="1"/>
      </w:tblPr>
      <w:tblGrid>
        <w:gridCol w:w="1445"/>
        <w:gridCol w:w="1294"/>
        <w:gridCol w:w="1461"/>
        <w:gridCol w:w="2519"/>
      </w:tblGrid>
      <w:tr w:rsidR="0079634A" w:rsidRPr="00C54C7C" w14:paraId="303D4844" w14:textId="77777777" w:rsidTr="00F006F3">
        <w:tc>
          <w:tcPr>
            <w:tcW w:w="0" w:type="auto"/>
          </w:tcPr>
          <w:p w14:paraId="24793894" w14:textId="77777777" w:rsidR="0079634A" w:rsidRPr="00C54C7C" w:rsidRDefault="0079634A" w:rsidP="00F006F3">
            <w:pPr>
              <w:rPr>
                <w:b/>
                <w:bCs/>
              </w:rPr>
            </w:pPr>
            <w:r w:rsidRPr="00C54C7C">
              <w:rPr>
                <w:b/>
                <w:bCs/>
              </w:rPr>
              <w:t>Observation</w:t>
            </w:r>
          </w:p>
        </w:tc>
        <w:tc>
          <w:tcPr>
            <w:tcW w:w="0" w:type="auto"/>
          </w:tcPr>
          <w:p w14:paraId="597C5051" w14:textId="77777777" w:rsidR="0079634A" w:rsidRPr="00C54C7C" w:rsidRDefault="0079634A" w:rsidP="00F006F3">
            <w:pPr>
              <w:rPr>
                <w:b/>
                <w:bCs/>
              </w:rPr>
            </w:pPr>
            <w:r w:rsidRPr="00C54C7C">
              <w:rPr>
                <w:b/>
                <w:bCs/>
              </w:rPr>
              <w:t>Hyppighed</w:t>
            </w:r>
          </w:p>
        </w:tc>
        <w:tc>
          <w:tcPr>
            <w:tcW w:w="0" w:type="auto"/>
          </w:tcPr>
          <w:p w14:paraId="1122295E" w14:textId="77777777" w:rsidR="0079634A" w:rsidRPr="00C54C7C" w:rsidRDefault="0079634A" w:rsidP="00F006F3">
            <w:pPr>
              <w:rPr>
                <w:b/>
                <w:bCs/>
              </w:rPr>
            </w:pPr>
            <w:r w:rsidRPr="00C54C7C">
              <w:rPr>
                <w:b/>
                <w:bCs/>
              </w:rPr>
              <w:t>Frekvens</w:t>
            </w:r>
            <w:r>
              <w:rPr>
                <w:b/>
                <w:bCs/>
              </w:rPr>
              <w:t xml:space="preserve"> i %</w:t>
            </w:r>
          </w:p>
        </w:tc>
        <w:tc>
          <w:tcPr>
            <w:tcW w:w="0" w:type="auto"/>
          </w:tcPr>
          <w:p w14:paraId="6699AAE0" w14:textId="77777777" w:rsidR="0079634A" w:rsidRPr="00C54C7C" w:rsidRDefault="0079634A" w:rsidP="00F006F3">
            <w:pPr>
              <w:rPr>
                <w:b/>
                <w:bCs/>
              </w:rPr>
            </w:pPr>
            <w:r w:rsidRPr="00C54C7C">
              <w:rPr>
                <w:b/>
                <w:bCs/>
              </w:rPr>
              <w:t>Kumuleret frekvens</w:t>
            </w:r>
            <w:r>
              <w:rPr>
                <w:b/>
                <w:bCs/>
              </w:rPr>
              <w:t xml:space="preserve"> i %</w:t>
            </w:r>
          </w:p>
        </w:tc>
      </w:tr>
      <w:tr w:rsidR="0079634A" w14:paraId="3DC98E26" w14:textId="77777777" w:rsidTr="00F006F3">
        <w:tc>
          <w:tcPr>
            <w:tcW w:w="0" w:type="auto"/>
          </w:tcPr>
          <w:p w14:paraId="3A0A19F7" w14:textId="77777777" w:rsidR="0079634A" w:rsidRDefault="0079634A" w:rsidP="00F006F3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092FA97" w14:textId="77777777" w:rsidR="0079634A" w:rsidRDefault="0079634A" w:rsidP="00F006F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1A42EE0" w14:textId="77777777" w:rsidR="0079634A" w:rsidRDefault="0079634A" w:rsidP="00F006F3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62A70DCE" w14:textId="77777777" w:rsidR="0079634A" w:rsidRDefault="0079634A" w:rsidP="00F006F3">
            <w:pPr>
              <w:jc w:val="center"/>
            </w:pPr>
            <w:r>
              <w:t>12</w:t>
            </w:r>
          </w:p>
        </w:tc>
      </w:tr>
      <w:tr w:rsidR="0079634A" w14:paraId="16FFD860" w14:textId="77777777" w:rsidTr="00F006F3">
        <w:tc>
          <w:tcPr>
            <w:tcW w:w="0" w:type="auto"/>
          </w:tcPr>
          <w:p w14:paraId="785F1A5F" w14:textId="77777777" w:rsidR="0079634A" w:rsidRDefault="0079634A" w:rsidP="00F006F3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383B528" w14:textId="77777777" w:rsidR="0079634A" w:rsidRDefault="0079634A" w:rsidP="00F006F3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EC9A91C" w14:textId="77777777" w:rsidR="0079634A" w:rsidRDefault="0079634A" w:rsidP="00F006F3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3969481A" w14:textId="77777777" w:rsidR="0079634A" w:rsidRDefault="0079634A" w:rsidP="00F006F3">
            <w:pPr>
              <w:jc w:val="center"/>
            </w:pPr>
            <w:r>
              <w:t>28</w:t>
            </w:r>
          </w:p>
        </w:tc>
      </w:tr>
      <w:tr w:rsidR="0079634A" w14:paraId="67CB80FC" w14:textId="77777777" w:rsidTr="00F006F3">
        <w:tc>
          <w:tcPr>
            <w:tcW w:w="0" w:type="auto"/>
          </w:tcPr>
          <w:p w14:paraId="701CA6ED" w14:textId="77777777" w:rsidR="0079634A" w:rsidRDefault="0079634A" w:rsidP="00F006F3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163CB9F3" w14:textId="77777777" w:rsidR="0079634A" w:rsidRDefault="0079634A" w:rsidP="00F006F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2B66FD4" w14:textId="77777777" w:rsidR="0079634A" w:rsidRDefault="0079634A" w:rsidP="00F006F3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BECD59C" w14:textId="77777777" w:rsidR="0079634A" w:rsidRDefault="0079634A" w:rsidP="00F006F3">
            <w:pPr>
              <w:jc w:val="center"/>
            </w:pPr>
            <w:r>
              <w:t>36</w:t>
            </w:r>
          </w:p>
        </w:tc>
      </w:tr>
      <w:tr w:rsidR="0079634A" w14:paraId="53B09C67" w14:textId="77777777" w:rsidTr="00F006F3">
        <w:tc>
          <w:tcPr>
            <w:tcW w:w="0" w:type="auto"/>
          </w:tcPr>
          <w:p w14:paraId="0520300C" w14:textId="77777777" w:rsidR="0079634A" w:rsidRDefault="0079634A" w:rsidP="00F006F3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EDFF06F" w14:textId="77777777" w:rsidR="0079634A" w:rsidRDefault="0079634A" w:rsidP="00F006F3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017B561" w14:textId="77777777" w:rsidR="0079634A" w:rsidRDefault="0079634A" w:rsidP="00F006F3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18962906" w14:textId="77777777" w:rsidR="0079634A" w:rsidRDefault="0079634A" w:rsidP="00F006F3">
            <w:pPr>
              <w:jc w:val="center"/>
            </w:pPr>
            <w:r>
              <w:t>56</w:t>
            </w:r>
          </w:p>
        </w:tc>
      </w:tr>
      <w:tr w:rsidR="0079634A" w14:paraId="798A5864" w14:textId="77777777" w:rsidTr="00F006F3">
        <w:tc>
          <w:tcPr>
            <w:tcW w:w="0" w:type="auto"/>
          </w:tcPr>
          <w:p w14:paraId="396CF15D" w14:textId="77777777" w:rsidR="0079634A" w:rsidRDefault="0079634A" w:rsidP="00F006F3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23743D60" w14:textId="77777777" w:rsidR="0079634A" w:rsidRDefault="0079634A" w:rsidP="00F006F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D635561" w14:textId="77777777" w:rsidR="0079634A" w:rsidRDefault="0079634A" w:rsidP="00F006F3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6CF4B59" w14:textId="77777777" w:rsidR="0079634A" w:rsidRDefault="0079634A" w:rsidP="00F006F3">
            <w:pPr>
              <w:jc w:val="center"/>
            </w:pPr>
            <w:r>
              <w:t>68</w:t>
            </w:r>
          </w:p>
        </w:tc>
      </w:tr>
      <w:tr w:rsidR="0079634A" w14:paraId="553A5D96" w14:textId="77777777" w:rsidTr="00F006F3">
        <w:tc>
          <w:tcPr>
            <w:tcW w:w="0" w:type="auto"/>
          </w:tcPr>
          <w:p w14:paraId="4B6DE3F9" w14:textId="77777777" w:rsidR="0079634A" w:rsidRDefault="0079634A" w:rsidP="00F006F3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1CF93CF" w14:textId="77777777" w:rsidR="0079634A" w:rsidRDefault="0079634A" w:rsidP="00F006F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3664990" w14:textId="77777777" w:rsidR="0079634A" w:rsidRDefault="0079634A" w:rsidP="00F006F3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620D93A" w14:textId="77777777" w:rsidR="0079634A" w:rsidRDefault="0079634A" w:rsidP="00F006F3">
            <w:pPr>
              <w:jc w:val="center"/>
            </w:pPr>
            <w:r>
              <w:t>76</w:t>
            </w:r>
          </w:p>
        </w:tc>
      </w:tr>
      <w:tr w:rsidR="0079634A" w14:paraId="37D1C19D" w14:textId="77777777" w:rsidTr="00F006F3">
        <w:tc>
          <w:tcPr>
            <w:tcW w:w="0" w:type="auto"/>
          </w:tcPr>
          <w:p w14:paraId="3B252353" w14:textId="77777777" w:rsidR="0079634A" w:rsidRDefault="0079634A" w:rsidP="00F006F3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1AC90D35" w14:textId="77777777" w:rsidR="0079634A" w:rsidRDefault="0079634A" w:rsidP="00F006F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E0C6CDE" w14:textId="77777777" w:rsidR="0079634A" w:rsidRDefault="0079634A" w:rsidP="00F006F3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DB9467C" w14:textId="77777777" w:rsidR="0079634A" w:rsidRDefault="0079634A" w:rsidP="00F006F3">
            <w:pPr>
              <w:jc w:val="center"/>
            </w:pPr>
            <w:r>
              <w:t>84</w:t>
            </w:r>
          </w:p>
        </w:tc>
      </w:tr>
      <w:tr w:rsidR="0079634A" w14:paraId="7CBF0536" w14:textId="77777777" w:rsidTr="00F006F3">
        <w:tc>
          <w:tcPr>
            <w:tcW w:w="0" w:type="auto"/>
          </w:tcPr>
          <w:p w14:paraId="04FD7137" w14:textId="77777777" w:rsidR="0079634A" w:rsidRDefault="0079634A" w:rsidP="00F006F3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9ED01E8" w14:textId="77777777" w:rsidR="0079634A" w:rsidRDefault="0079634A" w:rsidP="00F006F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46EDA3A" w14:textId="77777777" w:rsidR="0079634A" w:rsidRDefault="0079634A" w:rsidP="00F006F3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B6BEB6" w14:textId="77777777" w:rsidR="0079634A" w:rsidRDefault="0079634A" w:rsidP="00F006F3">
            <w:pPr>
              <w:jc w:val="center"/>
            </w:pPr>
            <w:r>
              <w:t>88</w:t>
            </w:r>
          </w:p>
        </w:tc>
      </w:tr>
      <w:tr w:rsidR="0079634A" w14:paraId="28741EE9" w14:textId="77777777" w:rsidTr="00F006F3">
        <w:tc>
          <w:tcPr>
            <w:tcW w:w="0" w:type="auto"/>
          </w:tcPr>
          <w:p w14:paraId="4737D231" w14:textId="77777777" w:rsidR="0079634A" w:rsidRDefault="0079634A" w:rsidP="00F006F3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43877918" w14:textId="77777777" w:rsidR="0079634A" w:rsidRDefault="0079634A" w:rsidP="00F006F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F3D58A6" w14:textId="77777777" w:rsidR="0079634A" w:rsidRDefault="0079634A" w:rsidP="00F006F3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F7EA45C" w14:textId="77777777" w:rsidR="0079634A" w:rsidRDefault="0079634A" w:rsidP="00F006F3">
            <w:pPr>
              <w:jc w:val="center"/>
            </w:pPr>
            <w:r>
              <w:t>96</w:t>
            </w:r>
          </w:p>
        </w:tc>
      </w:tr>
      <w:tr w:rsidR="0079634A" w14:paraId="52424162" w14:textId="77777777" w:rsidTr="00F006F3">
        <w:tc>
          <w:tcPr>
            <w:tcW w:w="0" w:type="auto"/>
          </w:tcPr>
          <w:p w14:paraId="09D2A10C" w14:textId="77777777" w:rsidR="0079634A" w:rsidRDefault="0079634A" w:rsidP="00F006F3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078F903" w14:textId="77777777" w:rsidR="0079634A" w:rsidRDefault="0079634A" w:rsidP="00F006F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BF5D602" w14:textId="77777777" w:rsidR="0079634A" w:rsidRDefault="0079634A" w:rsidP="00F006F3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11FF68C" w14:textId="77777777" w:rsidR="0079634A" w:rsidRDefault="0079634A" w:rsidP="00F006F3">
            <w:pPr>
              <w:jc w:val="center"/>
            </w:pPr>
            <w:r>
              <w:t>100</w:t>
            </w:r>
          </w:p>
        </w:tc>
      </w:tr>
      <w:tr w:rsidR="0079634A" w14:paraId="78D59261" w14:textId="77777777" w:rsidTr="00F006F3">
        <w:tc>
          <w:tcPr>
            <w:tcW w:w="0" w:type="auto"/>
          </w:tcPr>
          <w:p w14:paraId="52D3355A" w14:textId="77777777" w:rsidR="0079634A" w:rsidRPr="00447E89" w:rsidRDefault="0079634A" w:rsidP="00F006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alt:</w:t>
            </w:r>
          </w:p>
        </w:tc>
        <w:tc>
          <w:tcPr>
            <w:tcW w:w="0" w:type="auto"/>
          </w:tcPr>
          <w:p w14:paraId="0BB294FE" w14:textId="77777777" w:rsidR="0079634A" w:rsidRDefault="0079634A" w:rsidP="00F006F3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25</m:t>
                </m:r>
              </m:oMath>
            </m:oMathPara>
          </w:p>
        </w:tc>
        <w:tc>
          <w:tcPr>
            <w:tcW w:w="0" w:type="auto"/>
          </w:tcPr>
          <w:p w14:paraId="5D0A78D6" w14:textId="77777777" w:rsidR="0079634A" w:rsidRDefault="0079634A" w:rsidP="00F006F3">
            <w:pP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  <w:tc>
          <w:tcPr>
            <w:tcW w:w="0" w:type="auto"/>
          </w:tcPr>
          <w:p w14:paraId="75CA9C28" w14:textId="77777777" w:rsidR="0079634A" w:rsidRDefault="0079634A" w:rsidP="00F006F3">
            <w:pPr>
              <w:jc w:val="center"/>
            </w:pPr>
          </w:p>
        </w:tc>
      </w:tr>
    </w:tbl>
    <w:p w14:paraId="345D8A27" w14:textId="77777777" w:rsidR="0079634A" w:rsidRDefault="0079634A" w:rsidP="0079634A">
      <w:pPr>
        <w:spacing w:after="0"/>
      </w:pPr>
    </w:p>
    <w:p w14:paraId="0389B7D7" w14:textId="77777777" w:rsidR="0079634A" w:rsidRDefault="0079634A" w:rsidP="0079634A">
      <w:pPr>
        <w:spacing w:after="0"/>
      </w:pPr>
      <w:r>
        <w:t>Hyppigheden angiver antallet af den enkelte observation. Vi siger fx at observationen 4 har hyppigheden 3.</w:t>
      </w:r>
    </w:p>
    <w:p w14:paraId="555E5306" w14:textId="77777777" w:rsidR="0079634A" w:rsidRDefault="0079634A" w:rsidP="0079634A">
      <w:pPr>
        <w:spacing w:before="240" w:after="0"/>
      </w:pPr>
      <w:r>
        <w:t xml:space="preserve">Frekvensen er hyppigheden som procenttal. Det udregnes således: </w:t>
      </w:r>
      <w:bookmarkStart w:id="1" w:name="_Hlk30584282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w:bookmarkEnd w:id="1"/>
        <m:r>
          <w:rPr>
            <w:rFonts w:ascii="Cambria Math" w:hAnsi="Cambria Math"/>
          </w:rPr>
          <m:t>=0,12=12%</m:t>
        </m:r>
      </m:oMath>
    </w:p>
    <w:p w14:paraId="1EA3F58F" w14:textId="77777777" w:rsidR="0079634A" w:rsidRDefault="0079634A" w:rsidP="0079634A">
      <w:pPr>
        <w:spacing w:before="240" w:after="0"/>
      </w:pPr>
      <w:r>
        <w:t>Kumuleret frekvens betyder ”opsummeret” frekvens, dvs. frekvenserne lægges sammen løbende.</w:t>
      </w:r>
    </w:p>
    <w:p w14:paraId="13102367" w14:textId="77777777" w:rsidR="0079634A" w:rsidRDefault="0079634A" w:rsidP="0079634A">
      <w:pPr>
        <w:spacing w:before="240" w:after="0"/>
      </w:pPr>
      <w:r>
        <w:t>I skemaet kan vi fx aflæse forskellige ting om hf-elevernes besøgsfrekvens i andre lande:</w:t>
      </w:r>
    </w:p>
    <w:p w14:paraId="6D2ADF96" w14:textId="77777777" w:rsidR="0079634A" w:rsidRDefault="0079634A" w:rsidP="0079634A">
      <w:pPr>
        <w:spacing w:before="240" w:after="0"/>
        <w:ind w:left="1304"/>
        <w:rPr>
          <w:rFonts w:eastAsiaTheme="minorEastAsia"/>
        </w:rPr>
      </w:pPr>
      <m:oMath>
        <m:r>
          <w:rPr>
            <w:rFonts w:ascii="Cambria Math" w:hAnsi="Cambria Math"/>
          </w:rPr>
          <m:t>68%</m:t>
        </m:r>
      </m:oMath>
      <w:r>
        <w:rPr>
          <w:rFonts w:eastAsiaTheme="minorEastAsia"/>
        </w:rPr>
        <w:t xml:space="preserve"> af eleverne har besøgt </w:t>
      </w:r>
      <m:oMath>
        <m:r>
          <w:rPr>
            <w:rFonts w:ascii="Cambria Math" w:eastAsiaTheme="minorEastAsia" w:hAnsi="Cambria Math"/>
          </w:rPr>
          <m:t>9</m:t>
        </m:r>
      </m:oMath>
      <w:r>
        <w:rPr>
          <w:rFonts w:eastAsiaTheme="minorEastAsia"/>
        </w:rPr>
        <w:t xml:space="preserve"> eller færre lande</w:t>
      </w:r>
    </w:p>
    <w:p w14:paraId="20D06E09" w14:textId="77777777" w:rsidR="0079634A" w:rsidRDefault="0079634A" w:rsidP="0079634A">
      <w:pPr>
        <w:spacing w:before="240" w:after="0"/>
        <w:ind w:left="130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84%</m:t>
        </m:r>
      </m:oMath>
      <w:r>
        <w:rPr>
          <w:rFonts w:eastAsiaTheme="minorEastAsia"/>
        </w:rPr>
        <w:t xml:space="preserve"> af eleverne har besøgt </w:t>
      </w:r>
      <m:oMath>
        <m:r>
          <w:rPr>
            <w:rFonts w:ascii="Cambria Math" w:eastAsiaTheme="minorEastAsia" w:hAnsi="Cambria Math"/>
          </w:rPr>
          <m:t>11</m:t>
        </m:r>
      </m:oMath>
      <w:r>
        <w:rPr>
          <w:rFonts w:eastAsiaTheme="minorEastAsia"/>
        </w:rPr>
        <w:t xml:space="preserve"> eller færre lande</w:t>
      </w:r>
    </w:p>
    <w:p w14:paraId="771A2283" w14:textId="77777777" w:rsidR="0079634A" w:rsidRDefault="0079634A" w:rsidP="0079634A">
      <w:pPr>
        <w:spacing w:before="240" w:after="0"/>
        <w:ind w:left="1304"/>
      </w:pPr>
      <w:bookmarkStart w:id="2" w:name="_Hlk30586410"/>
      <m:oMath>
        <m:r>
          <w:rPr>
            <w:rFonts w:ascii="Cambria Math" w:eastAsiaTheme="minorEastAsia" w:hAnsi="Cambria Math"/>
          </w:rPr>
          <m:t>100%-68</m:t>
        </m:r>
        <w:bookmarkEnd w:id="2"/>
        <m:r>
          <w:rPr>
            <w:rFonts w:ascii="Cambria Math" w:eastAsiaTheme="minorEastAsia" w:hAnsi="Cambria Math"/>
          </w:rPr>
          <m:t>%=32%</m:t>
        </m:r>
      </m:oMath>
      <w:r>
        <w:rPr>
          <w:rFonts w:eastAsiaTheme="minorEastAsia"/>
        </w:rPr>
        <w:t xml:space="preserve"> af eleverne har besøgt flere end </w:t>
      </w:r>
      <m:oMath>
        <m:r>
          <w:rPr>
            <w:rFonts w:ascii="Cambria Math" w:eastAsiaTheme="minorEastAsia" w:hAnsi="Cambria Math"/>
          </w:rPr>
          <m:t>9</m:t>
        </m:r>
      </m:oMath>
      <w:r>
        <w:rPr>
          <w:rFonts w:eastAsiaTheme="minorEastAsia"/>
        </w:rPr>
        <w:t xml:space="preserve"> lande</w:t>
      </w:r>
    </w:p>
    <w:p w14:paraId="40AAF43A" w14:textId="77777777" w:rsidR="0079634A" w:rsidRDefault="0079634A" w:rsidP="0079634A">
      <w:pPr>
        <w:spacing w:before="240" w:after="0"/>
        <w:ind w:left="1304"/>
        <w:rPr>
          <w:rFonts w:eastAsiaTheme="minorEastAsia"/>
        </w:rPr>
      </w:pPr>
      <w:bookmarkStart w:id="3" w:name="_Hlk30586606"/>
      <m:oMath>
        <m:r>
          <w:rPr>
            <w:rFonts w:ascii="Cambria Math" w:hAnsi="Cambria Math"/>
          </w:rPr>
          <m:t>84%-32</m:t>
        </m:r>
        <w:bookmarkEnd w:id="3"/>
        <m:r>
          <w:rPr>
            <w:rFonts w:ascii="Cambria Math" w:hAnsi="Cambria Math"/>
          </w:rPr>
          <m:t>%=52%</m:t>
        </m:r>
      </m:oMath>
      <w:r>
        <w:rPr>
          <w:rFonts w:eastAsiaTheme="minorEastAsia"/>
        </w:rPr>
        <w:t xml:space="preserve"> af eleverne har besøgt flere end </w:t>
      </w:r>
      <m:oMath>
        <m:r>
          <w:rPr>
            <w:rFonts w:ascii="Cambria Math" w:eastAsiaTheme="minorEastAsia" w:hAnsi="Cambria Math"/>
          </w:rPr>
          <m:t>9</m:t>
        </m:r>
      </m:oMath>
      <w:r>
        <w:rPr>
          <w:rFonts w:eastAsiaTheme="minorEastAsia"/>
        </w:rPr>
        <w:t xml:space="preserve"> lande </w:t>
      </w:r>
      <w:r w:rsidRPr="00927B5F">
        <w:rPr>
          <w:rFonts w:eastAsiaTheme="minorEastAsia"/>
          <w:i/>
          <w:iCs/>
        </w:rPr>
        <w:t>og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11</m:t>
        </m:r>
      </m:oMath>
      <w:r>
        <w:rPr>
          <w:rFonts w:eastAsiaTheme="minorEastAsia"/>
        </w:rPr>
        <w:t xml:space="preserve"> eller færre lande, </w:t>
      </w:r>
    </w:p>
    <w:p w14:paraId="796819A0" w14:textId="77777777" w:rsidR="0079634A" w:rsidRDefault="0079634A" w:rsidP="0079634A">
      <w:pPr>
        <w:spacing w:before="240" w:after="0"/>
        <w:ind w:left="1304"/>
        <w:rPr>
          <w:rFonts w:eastAsiaTheme="minorEastAsia"/>
        </w:rPr>
      </w:pPr>
      <w:r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52%</m:t>
        </m:r>
      </m:oMath>
      <w:r>
        <w:rPr>
          <w:rFonts w:eastAsiaTheme="minorEastAsia"/>
        </w:rPr>
        <w:t xml:space="preserve"> af eleverne har besøgt </w:t>
      </w:r>
      <m:oMath>
        <m:r>
          <w:rPr>
            <w:rFonts w:ascii="Cambria Math" w:eastAsiaTheme="minorEastAsia" w:hAnsi="Cambria Math"/>
          </w:rPr>
          <m:t>10</m:t>
        </m:r>
      </m:oMath>
      <w:r>
        <w:rPr>
          <w:rFonts w:eastAsiaTheme="minorEastAsia"/>
        </w:rPr>
        <w:t xml:space="preserve"> eller </w:t>
      </w:r>
      <m:oMath>
        <m:r>
          <w:rPr>
            <w:rFonts w:ascii="Cambria Math" w:eastAsiaTheme="minorEastAsia" w:hAnsi="Cambria Math"/>
          </w:rPr>
          <m:t>11</m:t>
        </m:r>
      </m:oMath>
      <w:r>
        <w:rPr>
          <w:rFonts w:eastAsiaTheme="minorEastAsia"/>
        </w:rPr>
        <w:t xml:space="preserve"> lande</w:t>
      </w:r>
    </w:p>
    <w:p w14:paraId="29AC170C" w14:textId="77777777" w:rsidR="0079634A" w:rsidRDefault="0079634A" w:rsidP="0079634A">
      <w:pPr>
        <w:spacing w:before="240" w:after="0"/>
      </w:pPr>
      <w:r>
        <w:lastRenderedPageBreak/>
        <w:t xml:space="preserve">Hyppighed og frekvens afbildes i et </w:t>
      </w:r>
      <w:r w:rsidRPr="000651E2">
        <w:rPr>
          <w:b/>
          <w:bCs/>
        </w:rPr>
        <w:t>prikdiagram</w:t>
      </w:r>
      <w:r>
        <w:t xml:space="preserve"> vha. WordMat: ”Statistik” - ”</w:t>
      </w:r>
      <w:proofErr w:type="spellStart"/>
      <w:r>
        <w:t>ugrupperede</w:t>
      </w:r>
      <w:proofErr w:type="spellEnd"/>
      <w:r>
        <w:t xml:space="preserve"> observationer” - data indtastes i Excel:</w:t>
      </w:r>
    </w:p>
    <w:p w14:paraId="49FCEE04" w14:textId="77777777" w:rsidR="0079634A" w:rsidRDefault="0079634A" w:rsidP="0079634A">
      <w:pPr>
        <w:spacing w:after="0"/>
      </w:pPr>
      <w:r>
        <w:rPr>
          <w:noProof/>
        </w:rPr>
        <w:drawing>
          <wp:inline distT="0" distB="0" distL="0" distR="0" wp14:anchorId="0B8AE9D7" wp14:editId="6B39985F">
            <wp:extent cx="2981325" cy="1747838"/>
            <wp:effectExtent l="0" t="0" r="9525" b="5080"/>
            <wp:docPr id="104180613" name="Diagram 1041806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743F44F" w14:textId="77777777" w:rsidR="0079634A" w:rsidRDefault="0079634A" w:rsidP="0079634A">
      <w:pPr>
        <w:spacing w:after="0"/>
      </w:pPr>
    </w:p>
    <w:p w14:paraId="550040E8" w14:textId="77777777" w:rsidR="0079634A" w:rsidRDefault="0079634A" w:rsidP="0079634A">
      <w:r>
        <w:t>Man kan også illustrere hyppigheden eller frekvensen vha. af stolpediagram/pindediagram i WordMat: ”Statistik” - ”pindediagram” - data indtastes i Excel:</w:t>
      </w:r>
    </w:p>
    <w:p w14:paraId="05C6E5B1" w14:textId="77777777" w:rsidR="0079634A" w:rsidRDefault="0079634A" w:rsidP="0079634A">
      <w:pPr>
        <w:spacing w:after="0"/>
      </w:pPr>
      <w:r>
        <w:rPr>
          <w:noProof/>
        </w:rPr>
        <w:drawing>
          <wp:inline distT="0" distB="0" distL="0" distR="0" wp14:anchorId="1B97685A" wp14:editId="1A8B17A5">
            <wp:extent cx="4572000" cy="2743200"/>
            <wp:effectExtent l="0" t="0" r="0" b="0"/>
            <wp:docPr id="104180614" name="Diagram 1041806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A666FDF" w14:textId="77777777" w:rsidR="0079634A" w:rsidRDefault="0079634A" w:rsidP="0079634A">
      <w:pPr>
        <w:spacing w:after="0"/>
      </w:pPr>
    </w:p>
    <w:p w14:paraId="06DE9D2D" w14:textId="77777777" w:rsidR="0079634A" w:rsidRDefault="0079634A" w:rsidP="0079634A">
      <w:r>
        <w:t xml:space="preserve">Tabeller og diagrammer giver et vist overblik over det </w:t>
      </w:r>
      <w:proofErr w:type="spellStart"/>
      <w:r>
        <w:t>ugrupperede</w:t>
      </w:r>
      <w:proofErr w:type="spellEnd"/>
      <w:r>
        <w:t xml:space="preserve"> talmateriale, men der er behov for flere deskriptorer, dvs. tal, der beskriver observationssættet:</w:t>
      </w:r>
    </w:p>
    <w:p w14:paraId="25406EB0" w14:textId="77777777" w:rsidR="0079634A" w:rsidRPr="00DE72BB" w:rsidRDefault="0079634A" w:rsidP="0079634A">
      <w:r>
        <w:rPr>
          <w:b/>
          <w:bCs/>
        </w:rPr>
        <w:t xml:space="preserve">Observationssættets størrelse: </w:t>
      </w:r>
      <w:r>
        <w:t>25</w:t>
      </w:r>
    </w:p>
    <w:p w14:paraId="33E31747" w14:textId="77777777" w:rsidR="0079634A" w:rsidRPr="00DE72BB" w:rsidRDefault="0079634A" w:rsidP="0079634A">
      <w:r>
        <w:rPr>
          <w:b/>
          <w:bCs/>
        </w:rPr>
        <w:t xml:space="preserve">Mindsteværdi/mindste observation: </w:t>
      </w:r>
      <m:oMath>
        <m:r>
          <w:rPr>
            <w:rFonts w:ascii="Cambria Math" w:hAnsi="Cambria Math"/>
          </w:rPr>
          <m:t>min=4</m:t>
        </m:r>
      </m:oMath>
    </w:p>
    <w:p w14:paraId="2A00C142" w14:textId="77777777" w:rsidR="0079634A" w:rsidRPr="00DE72BB" w:rsidRDefault="0079634A" w:rsidP="0079634A">
      <w:r>
        <w:rPr>
          <w:b/>
          <w:bCs/>
        </w:rPr>
        <w:t xml:space="preserve">Maksimumsværdi/største observation: </w:t>
      </w:r>
      <m:oMath>
        <m:r>
          <w:rPr>
            <w:rFonts w:ascii="Cambria Math" w:hAnsi="Cambria Math"/>
          </w:rPr>
          <m:t>max=19</m:t>
        </m:r>
      </m:oMath>
    </w:p>
    <w:p w14:paraId="7A02B8DF" w14:textId="77777777" w:rsidR="0079634A" w:rsidRDefault="0079634A" w:rsidP="0079634A">
      <w:r w:rsidRPr="00DE72BB">
        <w:rPr>
          <w:b/>
          <w:bCs/>
        </w:rPr>
        <w:t>Variationsbredden</w:t>
      </w:r>
      <w:r>
        <w:t xml:space="preserve">: </w:t>
      </w:r>
      <w:bookmarkStart w:id="4" w:name="_Hlk30587957"/>
      <m:oMath>
        <m:r>
          <w:rPr>
            <w:rFonts w:ascii="Cambria Math" w:hAnsi="Cambria Math"/>
          </w:rPr>
          <m:t>19-4</m:t>
        </m:r>
        <w:bookmarkEnd w:id="4"/>
        <m:r>
          <w:rPr>
            <w:rFonts w:ascii="Cambria Math" w:hAnsi="Cambria Math"/>
          </w:rPr>
          <m:t>=15</m:t>
        </m:r>
      </m:oMath>
      <w:r>
        <w:rPr>
          <w:rFonts w:eastAsiaTheme="minorEastAsia"/>
          <w:bCs/>
        </w:rPr>
        <w:t xml:space="preserve">  (største observation minus mindste observation)</w:t>
      </w:r>
    </w:p>
    <w:p w14:paraId="557B302E" w14:textId="77777777" w:rsidR="0079634A" w:rsidRDefault="0079634A" w:rsidP="0079634A">
      <w:r w:rsidRPr="001F0084">
        <w:rPr>
          <w:b/>
          <w:bCs/>
        </w:rPr>
        <w:t>Middelværdien/gennemsnittet</w:t>
      </w:r>
      <w:r>
        <w:t xml:space="preserve"> er summen af alle observationerne delt med antallet af observationer:</w:t>
      </w:r>
    </w:p>
    <w:bookmarkStart w:id="5" w:name="_Hlk30588169"/>
    <w:p w14:paraId="71F44793" w14:textId="77777777" w:rsidR="0079634A" w:rsidRPr="00F95D0B" w:rsidRDefault="0079634A" w:rsidP="0079634A">
      <w:pPr>
        <w:rPr>
          <w:rFonts w:eastAsiaTheme="minorEastAsia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4+4+4+6+6+6+6+7+7+8+8+8+8+8+9+9+9+10+10+11+11+14+16+16+19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25</m:t>
              </m:r>
            </m:den>
          </m:f>
          <w:bookmarkEnd w:id="5"/>
          <m:r>
            <w:rPr>
              <w:rFonts w:ascii="Cambria Math" w:hAnsi="Cambria Math"/>
              <w:sz w:val="18"/>
              <w:szCs w:val="18"/>
            </w:rPr>
            <m:t>=8,96</m:t>
          </m:r>
        </m:oMath>
      </m:oMathPara>
    </w:p>
    <w:p w14:paraId="436ABDB3" w14:textId="77777777" w:rsidR="0079634A" w:rsidRDefault="0079634A" w:rsidP="0079634A">
      <w:pPr>
        <w:rPr>
          <w:rFonts w:eastAsiaTheme="minorEastAsia"/>
        </w:rPr>
      </w:pPr>
      <w:r>
        <w:rPr>
          <w:rFonts w:eastAsiaTheme="minorEastAsia"/>
        </w:rPr>
        <w:t xml:space="preserve">Middelværdien kan også beregnes vha. frekvensen (som decimaltal): </w:t>
      </w:r>
    </w:p>
    <w:p w14:paraId="70FC5A0F" w14:textId="77777777" w:rsidR="0079634A" w:rsidRPr="0053694F" w:rsidRDefault="0079634A" w:rsidP="0079634A">
      <w:pPr>
        <w:rPr>
          <w:rFonts w:eastAsiaTheme="minorEastAsia"/>
          <w:sz w:val="18"/>
          <w:szCs w:val="18"/>
        </w:rPr>
      </w:pPr>
      <w:bookmarkStart w:id="6" w:name="_Hlk30588542"/>
      <m:oMathPara>
        <m:oMath>
          <m:r>
            <w:rPr>
              <w:rFonts w:ascii="Cambria Math" w:eastAsiaTheme="minorEastAsia" w:hAnsi="Cambria Math"/>
              <w:sz w:val="18"/>
              <w:szCs w:val="18"/>
            </w:rPr>
            <w:lastRenderedPageBreak/>
            <m:t>4·0,12+6·0,16+7·0,08+8·0,20+9·0,12+10·0,08+11·0,08+14·0,04+16·0,08+19·0,04</m:t>
          </m:r>
          <w:bookmarkEnd w:id="6"/>
          <m:r>
            <w:rPr>
              <w:rFonts w:ascii="Cambria Math" w:eastAsiaTheme="minorEastAsia" w:hAnsi="Cambria Math"/>
              <w:sz w:val="18"/>
              <w:szCs w:val="18"/>
            </w:rPr>
            <m:t>≈8,96</m:t>
          </m:r>
        </m:oMath>
      </m:oMathPara>
    </w:p>
    <w:p w14:paraId="1C17F015" w14:textId="77777777" w:rsidR="0079634A" w:rsidRPr="00686F84" w:rsidRDefault="0079634A" w:rsidP="0079634A">
      <w:pPr>
        <w:rPr>
          <w:rFonts w:eastAsiaTheme="minorEastAsia"/>
        </w:rPr>
      </w:pPr>
      <w:r w:rsidRPr="00686F84">
        <w:rPr>
          <w:rFonts w:eastAsiaTheme="minorEastAsia"/>
        </w:rPr>
        <w:t xml:space="preserve">Hf-eleverne har altså i gennemsnit besøgt </w:t>
      </w:r>
      <m:oMath>
        <m:r>
          <w:rPr>
            <w:rFonts w:ascii="Cambria Math" w:eastAsiaTheme="minorEastAsia" w:hAnsi="Cambria Math"/>
          </w:rPr>
          <m:t>8,96</m:t>
        </m:r>
      </m:oMath>
      <w:r w:rsidRPr="00686F84">
        <w:rPr>
          <w:rFonts w:eastAsiaTheme="minorEastAsia"/>
        </w:rPr>
        <w:t xml:space="preserve"> lande.</w:t>
      </w:r>
    </w:p>
    <w:p w14:paraId="5D620834" w14:textId="77777777" w:rsidR="0079634A" w:rsidRPr="00021467" w:rsidRDefault="0079634A" w:rsidP="0079634A">
      <w:pPr>
        <w:spacing w:after="0"/>
        <w:rPr>
          <w:rFonts w:eastAsiaTheme="minorEastAsia"/>
        </w:rPr>
      </w:pPr>
    </w:p>
    <w:p w14:paraId="14E1A409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Disse deskriptorer siger dog ikke noget om, hvordan de </w:t>
      </w:r>
      <m:oMath>
        <m:r>
          <w:rPr>
            <w:rFonts w:ascii="Cambria Math" w:eastAsiaTheme="minorEastAsia" w:hAnsi="Cambria Math"/>
          </w:rPr>
          <m:t>25</m:t>
        </m:r>
      </m:oMath>
      <w:r>
        <w:rPr>
          <w:rFonts w:eastAsiaTheme="minorEastAsia"/>
        </w:rPr>
        <w:t xml:space="preserve"> observationer er fordelt. </w:t>
      </w:r>
    </w:p>
    <w:p w14:paraId="2F5EAB63" w14:textId="77777777" w:rsidR="0079634A" w:rsidRDefault="0079634A" w:rsidP="0079634A">
      <w:pPr>
        <w:spacing w:before="240" w:after="0"/>
        <w:rPr>
          <w:rFonts w:eastAsiaTheme="minorEastAsia"/>
        </w:rPr>
      </w:pPr>
      <w:r>
        <w:rPr>
          <w:rFonts w:eastAsiaTheme="minorEastAsia"/>
        </w:rPr>
        <w:t xml:space="preserve">Til at beskrive fordelingen af observationerne har vi </w:t>
      </w:r>
      <w:r w:rsidRPr="0008669C">
        <w:rPr>
          <w:rFonts w:eastAsiaTheme="minorEastAsia"/>
          <w:b/>
          <w:bCs/>
        </w:rPr>
        <w:t>kvartilerne</w:t>
      </w:r>
      <w:r>
        <w:rPr>
          <w:rFonts w:eastAsiaTheme="minorEastAsia"/>
        </w:rPr>
        <w:t>:</w:t>
      </w:r>
    </w:p>
    <w:p w14:paraId="5DE1BEB1" w14:textId="77777777" w:rsidR="0079634A" w:rsidRDefault="0079634A" w:rsidP="0079634A">
      <w:pPr>
        <w:spacing w:before="240" w:after="0"/>
        <w:rPr>
          <w:rFonts w:eastAsiaTheme="minorEastAsia"/>
        </w:rPr>
      </w:pPr>
      <w:r>
        <w:rPr>
          <w:rFonts w:eastAsiaTheme="minorEastAsia"/>
        </w:rPr>
        <w:t xml:space="preserve">Den midterste kvartil kaldes </w:t>
      </w:r>
      <w:r>
        <w:rPr>
          <w:rFonts w:eastAsiaTheme="minorEastAsia"/>
          <w:b/>
          <w:bCs/>
        </w:rPr>
        <w:t>medianen</w:t>
      </w:r>
      <w:r>
        <w:rPr>
          <w:rFonts w:eastAsiaTheme="minorEastAsia"/>
        </w:rPr>
        <w:t xml:space="preserve">. I observationssæt med et lige antal observationer er medianen gennemsnittet af de to midterste observationer. Medianen deler observationssættet i to lige store dele, så </w:t>
      </w:r>
      <m:oMath>
        <m:r>
          <w:rPr>
            <w:rFonts w:ascii="Cambria Math" w:eastAsiaTheme="minorEastAsia" w:hAnsi="Cambria Math"/>
          </w:rPr>
          <m:t>50%</m:t>
        </m:r>
      </m:oMath>
      <w:r>
        <w:rPr>
          <w:rFonts w:eastAsiaTheme="minorEastAsia"/>
        </w:rPr>
        <w:t xml:space="preserve"> af observationerne ligger over og </w:t>
      </w:r>
      <m:oMath>
        <m:r>
          <w:rPr>
            <w:rFonts w:ascii="Cambria Math" w:eastAsiaTheme="minorEastAsia" w:hAnsi="Cambria Math"/>
          </w:rPr>
          <m:t>50%</m:t>
        </m:r>
      </m:oMath>
      <w:r>
        <w:rPr>
          <w:rFonts w:eastAsiaTheme="minorEastAsia"/>
        </w:rPr>
        <w:t xml:space="preserve"> ligger under medianen.</w:t>
      </w:r>
    </w:p>
    <w:p w14:paraId="385D8250" w14:textId="77777777" w:rsidR="0079634A" w:rsidRDefault="0079634A" w:rsidP="0079634A">
      <w:pPr>
        <w:spacing w:before="240" w:after="0"/>
        <w:rPr>
          <w:rFonts w:eastAsiaTheme="minorEastAsia"/>
        </w:rPr>
      </w:pPr>
      <w:r>
        <w:rPr>
          <w:rFonts w:eastAsiaTheme="minorEastAsia"/>
        </w:rPr>
        <w:t xml:space="preserve">Den </w:t>
      </w:r>
      <w:r w:rsidRPr="005136B4">
        <w:rPr>
          <w:rFonts w:eastAsiaTheme="minorEastAsia"/>
          <w:b/>
          <w:bCs/>
        </w:rPr>
        <w:t>nedre kvartil</w:t>
      </w:r>
      <w:r>
        <w:rPr>
          <w:rFonts w:eastAsiaTheme="minorEastAsia"/>
        </w:rPr>
        <w:t xml:space="preserve"> er medianen af observationssættets ”nederste halvdel” (hvis der er et lige antal observationer er det gennemsnittet af de to midterste observationer).</w:t>
      </w:r>
    </w:p>
    <w:p w14:paraId="765D141F" w14:textId="77777777" w:rsidR="0079634A" w:rsidRPr="0008669C" w:rsidRDefault="0079634A" w:rsidP="0079634A">
      <w:pPr>
        <w:spacing w:before="240" w:after="0"/>
        <w:rPr>
          <w:rFonts w:eastAsiaTheme="minorEastAsia"/>
        </w:rPr>
      </w:pPr>
      <w:r>
        <w:rPr>
          <w:rFonts w:eastAsiaTheme="minorEastAsia"/>
        </w:rPr>
        <w:t xml:space="preserve">Den </w:t>
      </w:r>
      <w:r w:rsidRPr="005136B4">
        <w:rPr>
          <w:rFonts w:eastAsiaTheme="minorEastAsia"/>
          <w:b/>
          <w:bCs/>
        </w:rPr>
        <w:t>øvre kvartil</w:t>
      </w:r>
      <w:r>
        <w:rPr>
          <w:rFonts w:eastAsiaTheme="minorEastAsia"/>
        </w:rPr>
        <w:t xml:space="preserve"> er medianen af observationssættets ”øverste halvdel” (hvis der er et lige antal observationer er det gennemsnittet af de to midterste observationer).</w:t>
      </w:r>
    </w:p>
    <w:p w14:paraId="6BD9DA07" w14:textId="77777777" w:rsidR="0079634A" w:rsidRDefault="0079634A" w:rsidP="0079634A">
      <w:pPr>
        <w:spacing w:before="240"/>
        <w:rPr>
          <w:rFonts w:eastAsiaTheme="minorEastAsia"/>
        </w:rPr>
      </w:pPr>
      <w:r>
        <w:rPr>
          <w:rFonts w:eastAsiaTheme="minorEastAsia"/>
        </w:rPr>
        <w:t>Kvartilerne kan findes ved at stille observationerne op i rækkefølge:</w:t>
      </w:r>
    </w:p>
    <w:p w14:paraId="1F8E269F" w14:textId="77777777" w:rsidR="0079634A" w:rsidRPr="0027070F" w:rsidRDefault="0079634A" w:rsidP="0079634A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4, 4, 4, 6, 6, </m:t>
          </m:r>
          <m:r>
            <w:rPr>
              <w:rFonts w:ascii="Cambria Math" w:eastAsiaTheme="minorEastAsia" w:hAnsi="Cambria Math"/>
              <w:color w:val="FF0000"/>
            </w:rPr>
            <m:t>6, 6</m:t>
          </m:r>
          <m:r>
            <w:rPr>
              <w:rFonts w:ascii="Cambria Math" w:eastAsiaTheme="minorEastAsia" w:hAnsi="Cambria Math"/>
            </w:rPr>
            <m:t xml:space="preserve">, 7, 7, 8, 8, 8, </m:t>
          </m:r>
          <m:r>
            <w:rPr>
              <w:rFonts w:ascii="Cambria Math" w:eastAsiaTheme="minorEastAsia" w:hAnsi="Cambria Math"/>
              <w:color w:val="FF0000"/>
            </w:rPr>
            <m:t>8</m:t>
          </m:r>
          <m:r>
            <w:rPr>
              <w:rFonts w:ascii="Cambria Math" w:eastAsiaTheme="minorEastAsia" w:hAnsi="Cambria Math"/>
            </w:rPr>
            <m:t xml:space="preserve">, 8, 9, 9, 9, 10, </m:t>
          </m:r>
          <m:r>
            <w:rPr>
              <w:rFonts w:ascii="Cambria Math" w:eastAsiaTheme="minorEastAsia" w:hAnsi="Cambria Math"/>
              <w:color w:val="FF0000"/>
            </w:rPr>
            <m:t>10, 11</m:t>
          </m:r>
          <m:r>
            <w:rPr>
              <w:rFonts w:ascii="Cambria Math" w:eastAsiaTheme="minorEastAsia" w:hAnsi="Cambria Math"/>
            </w:rPr>
            <m:t>, 11, 14, 16, 16, 19</m:t>
          </m:r>
        </m:oMath>
      </m:oMathPara>
    </w:p>
    <w:p w14:paraId="2B6C60C7" w14:textId="77777777" w:rsidR="0079634A" w:rsidRDefault="0079634A" w:rsidP="0079634A">
      <w:pPr>
        <w:spacing w:after="0"/>
        <w:rPr>
          <w:rFonts w:eastAsiaTheme="minorEastAsia"/>
          <w:sz w:val="20"/>
          <w:szCs w:val="20"/>
        </w:rPr>
      </w:pPr>
      <w:r>
        <w:rPr>
          <w:rFonts w:eastAsiaTheme="minorEastAsia"/>
          <w:iCs/>
        </w:rPr>
        <w:t xml:space="preserve">                                   </w:t>
      </w:r>
      <w:r w:rsidRPr="00DD333F">
        <w:rPr>
          <w:rFonts w:eastAsiaTheme="minorEastAsia"/>
          <w:iCs/>
          <w:sz w:val="18"/>
          <w:szCs w:val="18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 w:val="18"/>
                <w:szCs w:val="18"/>
              </w:rPr>
            </m:ctrlPr>
          </m:bar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de 12 nederste observationer</m:t>
            </m:r>
          </m:e>
        </m:bar>
      </m:oMath>
      <w:r>
        <w:rPr>
          <w:rFonts w:eastAsiaTheme="minorEastAsia"/>
          <w:iCs/>
          <w:sz w:val="18"/>
          <w:szCs w:val="18"/>
        </w:rPr>
        <w:t xml:space="preserve">   </w:t>
      </w:r>
      <w:r w:rsidRPr="00DD333F">
        <w:rPr>
          <w:rFonts w:ascii="Cambria Math" w:eastAsiaTheme="minorEastAsia" w:hAnsi="Cambria Math"/>
          <w:sz w:val="20"/>
          <w:szCs w:val="20"/>
        </w:rPr>
        <w:t>⇡</w:t>
      </w:r>
      <w:r>
        <w:rPr>
          <w:rFonts w:eastAsiaTheme="minorEastAsia"/>
          <w:sz w:val="20"/>
          <w:szCs w:val="20"/>
        </w:rPr>
        <w:t xml:space="preserve">  </w:t>
      </w:r>
      <w:r>
        <w:rPr>
          <w:rFonts w:eastAsiaTheme="minorEastAsia"/>
          <w:iCs/>
          <w:sz w:val="18"/>
          <w:szCs w:val="18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 w:val="18"/>
                <w:szCs w:val="18"/>
              </w:rPr>
            </m:ctrlPr>
          </m:barPr>
          <m:e>
            <m:r>
              <w:rPr>
                <w:rFonts w:ascii="Cambria Math" w:eastAsiaTheme="minorEastAsia" w:hAnsi="Cambria Math"/>
                <w:sz w:val="18"/>
                <w:szCs w:val="18"/>
              </w:rPr>
              <m:t xml:space="preserve">       de 12 øverste observationer                  </m:t>
            </m:r>
          </m:e>
        </m:bar>
      </m:oMath>
    </w:p>
    <w:p w14:paraId="77C982EA" w14:textId="77777777" w:rsidR="0079634A" w:rsidRPr="00102D26" w:rsidRDefault="0079634A" w:rsidP="0079634A">
      <w:pPr>
        <w:spacing w:after="0"/>
        <w:rPr>
          <w:rFonts w:eastAsiaTheme="minorEastAsia"/>
          <w:sz w:val="18"/>
          <w:szCs w:val="18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</w:t>
      </w:r>
      <w:r w:rsidRPr="00102D26">
        <w:rPr>
          <w:rFonts w:eastAsiaTheme="minorEastAsia"/>
          <w:i/>
          <w:iCs/>
          <w:sz w:val="18"/>
          <w:szCs w:val="18"/>
        </w:rPr>
        <w:t>median</w:t>
      </w:r>
    </w:p>
    <w:p w14:paraId="08B035EF" w14:textId="77777777" w:rsidR="0079634A" w:rsidRDefault="0079634A" w:rsidP="0079634A">
      <w:pPr>
        <w:spacing w:after="0"/>
        <w:rPr>
          <w:rFonts w:eastAsiaTheme="minorEastAsia"/>
        </w:rPr>
      </w:pPr>
      <w:r>
        <w:t xml:space="preserve">Nedre kvartil: </w:t>
      </w:r>
      <w:bookmarkStart w:id="7" w:name="_Hlk30589836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6+6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w:bookmarkEnd w:id="7"/>
        <m:r>
          <w:rPr>
            <w:rFonts w:ascii="Cambria Math" w:hAnsi="Cambria Math"/>
          </w:rPr>
          <m:t>=6</m:t>
        </m:r>
      </m:oMath>
    </w:p>
    <w:p w14:paraId="6B11CD17" w14:textId="77777777" w:rsidR="0079634A" w:rsidRPr="00297E75" w:rsidRDefault="0079634A" w:rsidP="0079634A">
      <w:pPr>
        <w:spacing w:after="0"/>
      </w:pPr>
      <w:r>
        <w:rPr>
          <w:rFonts w:eastAsiaTheme="minorEastAsia"/>
        </w:rPr>
        <w:t xml:space="preserve">Øvre kvartil: </w:t>
      </w:r>
      <w:bookmarkStart w:id="8" w:name="_Hlk30589854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10+11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w:bookmarkEnd w:id="8"/>
        <m:r>
          <w:rPr>
            <w:rFonts w:ascii="Cambria Math" w:eastAsiaTheme="minorEastAsia" w:hAnsi="Cambria Math"/>
          </w:rPr>
          <m:t>=10,5</m:t>
        </m:r>
      </m:oMath>
    </w:p>
    <w:p w14:paraId="24F5DF32" w14:textId="77777777" w:rsidR="0079634A" w:rsidRDefault="0079634A" w:rsidP="0079634A">
      <w:pPr>
        <w:spacing w:before="240"/>
        <w:rPr>
          <w:rFonts w:eastAsiaTheme="minorEastAsia"/>
        </w:rPr>
      </w:pPr>
      <w:r>
        <w:t xml:space="preserve">De tre kvartiler sammenfattes i </w:t>
      </w:r>
      <w:r w:rsidRPr="00A54030">
        <w:rPr>
          <w:b/>
          <w:bCs/>
        </w:rPr>
        <w:t>kvartilsættet</w:t>
      </w:r>
      <w:r>
        <w:t xml:space="preserve">:   </w:t>
      </w:r>
      <m:oMath>
        <m:r>
          <w:rPr>
            <w:rFonts w:ascii="Cambria Math" w:hAnsi="Cambria Math"/>
          </w:rPr>
          <m:t>(6;8;10,5)</m:t>
        </m:r>
      </m:oMath>
    </w:p>
    <w:p w14:paraId="0780541D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Ud fra øvre og nedre kvartil kan vi beregne </w:t>
      </w:r>
      <w:r w:rsidRPr="006F077B">
        <w:rPr>
          <w:rFonts w:eastAsiaTheme="minorEastAsia"/>
          <w:b/>
          <w:bCs/>
        </w:rPr>
        <w:t>kvartilbredden</w:t>
      </w:r>
      <w:r>
        <w:rPr>
          <w:rFonts w:eastAsiaTheme="minorEastAsia"/>
        </w:rPr>
        <w:t xml:space="preserve"> (øvre minus nedre kvartil): </w:t>
      </w:r>
      <w:bookmarkStart w:id="9" w:name="_Hlk30589958"/>
      <m:oMath>
        <m:r>
          <w:rPr>
            <w:rFonts w:ascii="Cambria Math" w:eastAsiaTheme="minorEastAsia" w:hAnsi="Cambria Math"/>
          </w:rPr>
          <m:t>10,5-6</m:t>
        </m:r>
        <w:bookmarkEnd w:id="9"/>
        <m:r>
          <w:rPr>
            <w:rFonts w:ascii="Cambria Math" w:eastAsiaTheme="minorEastAsia" w:hAnsi="Cambria Math"/>
          </w:rPr>
          <m:t>=4,5</m:t>
        </m:r>
      </m:oMath>
      <w:r>
        <w:rPr>
          <w:rFonts w:eastAsiaTheme="minorEastAsia"/>
        </w:rPr>
        <w:t>.</w:t>
      </w:r>
    </w:p>
    <w:p w14:paraId="612792EE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Kvartilbredden viser, hvor stor variationen </w:t>
      </w:r>
      <w:proofErr w:type="gramStart"/>
      <w:r>
        <w:rPr>
          <w:rFonts w:eastAsiaTheme="minorEastAsia"/>
        </w:rPr>
        <w:t>i</w:t>
      </w:r>
      <w:proofErr w:type="gramEnd"/>
      <w:r>
        <w:rPr>
          <w:rFonts w:eastAsiaTheme="minorEastAsia"/>
        </w:rPr>
        <w:t xml:space="preserve"> er for de midterste </w:t>
      </w:r>
      <m:oMath>
        <m:r>
          <w:rPr>
            <w:rFonts w:ascii="Cambria Math" w:eastAsiaTheme="minorEastAsia" w:hAnsi="Cambria Math"/>
          </w:rPr>
          <m:t>50%</m:t>
        </m:r>
      </m:oMath>
      <w:r>
        <w:rPr>
          <w:rFonts w:eastAsiaTheme="minorEastAsia"/>
        </w:rPr>
        <w:t xml:space="preserve"> af observationerne.</w:t>
      </w:r>
    </w:p>
    <w:p w14:paraId="463CAFB8" w14:textId="77777777" w:rsidR="0079634A" w:rsidRDefault="0079634A" w:rsidP="0079634A">
      <w:pPr>
        <w:spacing w:after="0"/>
        <w:rPr>
          <w:rFonts w:eastAsiaTheme="minorEastAsia"/>
        </w:rPr>
      </w:pPr>
    </w:p>
    <w:p w14:paraId="212DF7F8" w14:textId="77777777" w:rsidR="0079634A" w:rsidRPr="006F077B" w:rsidRDefault="0079634A" w:rsidP="0079634A">
      <w:pPr>
        <w:rPr>
          <w:rFonts w:eastAsiaTheme="minorEastAsia"/>
        </w:rPr>
      </w:pPr>
      <w:r>
        <w:rPr>
          <w:rFonts w:eastAsiaTheme="minorEastAsia"/>
        </w:rPr>
        <w:t xml:space="preserve">Kvartilsættet deler observationssættet i fire lige store dele med </w:t>
      </w:r>
      <m:oMath>
        <m:r>
          <w:rPr>
            <w:rFonts w:ascii="Cambria Math" w:eastAsiaTheme="minorEastAsia" w:hAnsi="Cambria Math"/>
          </w:rPr>
          <m:t>25%</m:t>
        </m:r>
      </m:oMath>
      <w:r>
        <w:rPr>
          <w:rFonts w:eastAsiaTheme="minorEastAsia"/>
        </w:rPr>
        <w:t xml:space="preserve"> af observationerne i hver.</w:t>
      </w:r>
    </w:p>
    <w:p w14:paraId="7B8E9B90" w14:textId="77777777" w:rsidR="0079634A" w:rsidRDefault="0079634A" w:rsidP="0079634A">
      <w:r>
        <w:t xml:space="preserve">Vi kan af kvartilsættet ovenfor se, at: </w:t>
      </w:r>
    </w:p>
    <w:p w14:paraId="28F2E58A" w14:textId="77777777" w:rsidR="0079634A" w:rsidRDefault="0079634A" w:rsidP="0079634A">
      <w:pPr>
        <w:ind w:left="1304"/>
        <w:rPr>
          <w:rFonts w:eastAsiaTheme="minorEastAsia"/>
        </w:rPr>
      </w:pPr>
      <m:oMath>
        <m:r>
          <w:rPr>
            <w:rFonts w:ascii="Cambria Math" w:hAnsi="Cambria Math"/>
          </w:rPr>
          <m:t>25%</m:t>
        </m:r>
      </m:oMath>
      <w:r>
        <w:rPr>
          <w:rFonts w:eastAsiaTheme="minorEastAsia"/>
        </w:rPr>
        <w:t xml:space="preserve"> af observationerne er </w:t>
      </w:r>
      <m:oMath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</w:rPr>
        <w:t xml:space="preserve"> eller mindre, dvs. </w:t>
      </w:r>
      <m:oMath>
        <m:r>
          <w:rPr>
            <w:rFonts w:ascii="Cambria Math" w:eastAsiaTheme="minorEastAsia" w:hAnsi="Cambria Math"/>
          </w:rPr>
          <m:t>25%</m:t>
        </m:r>
      </m:oMath>
      <w:r>
        <w:rPr>
          <w:rFonts w:eastAsiaTheme="minorEastAsia"/>
        </w:rPr>
        <w:t xml:space="preserve"> har besøgt </w:t>
      </w:r>
      <m:oMath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</w:rPr>
        <w:t xml:space="preserve"> eller færre lande</w:t>
      </w:r>
    </w:p>
    <w:p w14:paraId="095CAD49" w14:textId="77777777" w:rsidR="0079634A" w:rsidRDefault="0079634A" w:rsidP="0079634A">
      <w:pPr>
        <w:ind w:left="1304"/>
        <w:rPr>
          <w:rFonts w:eastAsiaTheme="minorEastAsia"/>
        </w:rPr>
      </w:pPr>
      <w:r>
        <w:t xml:space="preserve">Halvdelen af observationerne er </w:t>
      </w:r>
      <m:oMath>
        <m:r>
          <w:rPr>
            <w:rFonts w:ascii="Cambria Math" w:hAnsi="Cambria Math"/>
          </w:rPr>
          <m:t>8</m:t>
        </m:r>
      </m:oMath>
      <w:r>
        <w:rPr>
          <w:rFonts w:eastAsiaTheme="minorEastAsia"/>
        </w:rPr>
        <w:t xml:space="preserve"> eller mindre, mens halvdelen er mere end </w:t>
      </w:r>
      <m:oMath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</w:rPr>
        <w:t xml:space="preserve">, dvs. halvdelen af eleverne har besøgt </w:t>
      </w:r>
      <m:oMath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</w:rPr>
        <w:t xml:space="preserve"> eller færre lande mens den anden halvdel har besøgt flere end </w:t>
      </w:r>
      <m:oMath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</w:rPr>
        <w:t xml:space="preserve"> lande</w:t>
      </w:r>
    </w:p>
    <w:p w14:paraId="43708E4E" w14:textId="77777777" w:rsidR="0079634A" w:rsidRDefault="0079634A" w:rsidP="0079634A">
      <w:pPr>
        <w:ind w:left="1304"/>
        <w:rPr>
          <w:rFonts w:eastAsiaTheme="minorEastAsia"/>
        </w:rPr>
      </w:pPr>
      <m:oMath>
        <m:r>
          <w:rPr>
            <w:rFonts w:ascii="Cambria Math" w:hAnsi="Cambria Math"/>
          </w:rPr>
          <m:t>75%</m:t>
        </m:r>
      </m:oMath>
      <w:r>
        <w:rPr>
          <w:rFonts w:eastAsiaTheme="minorEastAsia"/>
        </w:rPr>
        <w:t xml:space="preserve"> af observationerne er </w:t>
      </w:r>
      <m:oMath>
        <m:r>
          <w:rPr>
            <w:rFonts w:ascii="Cambria Math" w:eastAsiaTheme="minorEastAsia" w:hAnsi="Cambria Math"/>
          </w:rPr>
          <m:t>10,5</m:t>
        </m:r>
      </m:oMath>
      <w:r>
        <w:rPr>
          <w:rFonts w:eastAsiaTheme="minorEastAsia"/>
        </w:rPr>
        <w:t xml:space="preserve"> eller mindre, dvs. </w:t>
      </w:r>
      <m:oMath>
        <m:r>
          <w:rPr>
            <w:rFonts w:ascii="Cambria Math" w:eastAsiaTheme="minorEastAsia" w:hAnsi="Cambria Math"/>
          </w:rPr>
          <m:t>75%</m:t>
        </m:r>
      </m:oMath>
      <w:r>
        <w:rPr>
          <w:rFonts w:eastAsiaTheme="minorEastAsia"/>
        </w:rPr>
        <w:t xml:space="preserve"> har besøgt </w:t>
      </w:r>
      <m:oMath>
        <m:r>
          <w:rPr>
            <w:rFonts w:ascii="Cambria Math" w:eastAsiaTheme="minorEastAsia" w:hAnsi="Cambria Math"/>
          </w:rPr>
          <m:t>10,5</m:t>
        </m:r>
      </m:oMath>
      <w:r>
        <w:rPr>
          <w:rFonts w:eastAsiaTheme="minorEastAsia"/>
        </w:rPr>
        <w:t xml:space="preserve"> eller færre lande</w:t>
      </w:r>
    </w:p>
    <w:p w14:paraId="5010166F" w14:textId="77777777" w:rsidR="0079634A" w:rsidRDefault="0079634A" w:rsidP="0079634A">
      <w:pPr>
        <w:spacing w:after="0"/>
      </w:pPr>
      <w:r>
        <w:rPr>
          <w:b/>
          <w:bCs/>
        </w:rPr>
        <w:t>Outlier</w:t>
      </w:r>
    </w:p>
    <w:p w14:paraId="143980D6" w14:textId="77777777" w:rsidR="0079634A" w:rsidRDefault="0079634A" w:rsidP="0079634A">
      <w:pPr>
        <w:spacing w:after="0"/>
        <w:rPr>
          <w:rFonts w:eastAsiaTheme="minorEastAsia"/>
        </w:rPr>
      </w:pPr>
      <w:r>
        <w:t xml:space="preserve">En outlier er en observation, der ligger mere end </w:t>
      </w:r>
      <m:oMath>
        <m:r>
          <w:rPr>
            <w:rFonts w:ascii="Cambria Math" w:hAnsi="Cambria Math"/>
          </w:rPr>
          <m:t>1,5</m:t>
        </m:r>
      </m:oMath>
      <w:r>
        <w:rPr>
          <w:rFonts w:eastAsiaTheme="minorEastAsia"/>
        </w:rPr>
        <w:t xml:space="preserve"> gange kvartilbredden under nedre kvartil eller over øvre kvartil. </w:t>
      </w:r>
    </w:p>
    <w:p w14:paraId="7D10436B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Først findes </w:t>
      </w:r>
      <m:oMath>
        <m:r>
          <w:rPr>
            <w:rFonts w:ascii="Cambria Math" w:eastAsiaTheme="minorEastAsia" w:hAnsi="Cambria Math"/>
          </w:rPr>
          <m:t>1,5</m:t>
        </m:r>
      </m:oMath>
      <w:r>
        <w:rPr>
          <w:rFonts w:eastAsiaTheme="minorEastAsia"/>
        </w:rPr>
        <w:t xml:space="preserve"> gange kvartilbredden:  </w:t>
      </w:r>
      <w:bookmarkStart w:id="10" w:name="_Hlk30591786"/>
      <m:oMath>
        <m:r>
          <w:rPr>
            <w:rFonts w:ascii="Cambria Math" w:eastAsiaTheme="minorEastAsia" w:hAnsi="Cambria Math"/>
          </w:rPr>
          <m:t>1,5·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10,5-6</m:t>
            </m:r>
          </m:e>
        </m:d>
        <w:bookmarkEnd w:id="10"/>
        <m:r>
          <w:rPr>
            <w:rFonts w:ascii="Cambria Math" w:eastAsiaTheme="minorEastAsia" w:hAnsi="Cambria Math"/>
          </w:rPr>
          <m:t>=6,75</m:t>
        </m:r>
      </m:oMath>
    </w:p>
    <w:p w14:paraId="73F74A1E" w14:textId="77777777" w:rsidR="0079634A" w:rsidRDefault="0079634A" w:rsidP="0079634A">
      <w:pPr>
        <w:spacing w:after="0"/>
        <w:rPr>
          <w:rFonts w:eastAsiaTheme="minorEastAsia"/>
        </w:rPr>
      </w:pPr>
      <m:oMath>
        <m:r>
          <w:rPr>
            <w:rFonts w:ascii="Cambria Math" w:hAnsi="Cambria Math"/>
          </w:rPr>
          <m:t>1,5</m:t>
        </m:r>
      </m:oMath>
      <w:r>
        <w:rPr>
          <w:rFonts w:eastAsiaTheme="minorEastAsia"/>
        </w:rPr>
        <w:t xml:space="preserve"> gange kvartilbredden under nedre kvartil er altså (nedre kvartil minus </w:t>
      </w:r>
      <m:oMath>
        <m:r>
          <w:rPr>
            <w:rFonts w:ascii="Cambria Math" w:eastAsiaTheme="minorEastAsia" w:hAnsi="Cambria Math"/>
          </w:rPr>
          <m:t>6,75</m:t>
        </m:r>
      </m:oMath>
      <w:r>
        <w:rPr>
          <w:rFonts w:eastAsiaTheme="minorEastAsia"/>
        </w:rPr>
        <w:t xml:space="preserve">): </w:t>
      </w:r>
      <w:bookmarkStart w:id="11" w:name="_Hlk30591881"/>
      <m:oMath>
        <m:r>
          <w:rPr>
            <w:rFonts w:ascii="Cambria Math" w:eastAsiaTheme="minorEastAsia" w:hAnsi="Cambria Math"/>
          </w:rPr>
          <m:t>6-6,75</m:t>
        </m:r>
        <w:bookmarkEnd w:id="11"/>
        <m:r>
          <w:rPr>
            <w:rFonts w:ascii="Cambria Math" w:eastAsiaTheme="minorEastAsia" w:hAnsi="Cambria Math"/>
          </w:rPr>
          <m:t>=-0,75</m:t>
        </m:r>
      </m:oMath>
    </w:p>
    <w:p w14:paraId="70E3509D" w14:textId="77777777" w:rsidR="0079634A" w:rsidRPr="00F362B6" w:rsidRDefault="0079634A" w:rsidP="0079634A">
      <w:pPr>
        <w:spacing w:after="0"/>
      </w:pPr>
      <m:oMath>
        <m:r>
          <w:rPr>
            <w:rFonts w:ascii="Cambria Math" w:hAnsi="Cambria Math"/>
          </w:rPr>
          <m:t>1,5</m:t>
        </m:r>
      </m:oMath>
      <w:r>
        <w:rPr>
          <w:rFonts w:eastAsiaTheme="minorEastAsia"/>
        </w:rPr>
        <w:t xml:space="preserve"> gange kvartilbredden over øvre kvartil er altså (øvre kvartil minus </w:t>
      </w:r>
      <m:oMath>
        <m:r>
          <w:rPr>
            <w:rFonts w:ascii="Cambria Math" w:eastAsiaTheme="minorEastAsia" w:hAnsi="Cambria Math"/>
          </w:rPr>
          <m:t>6,75</m:t>
        </m:r>
      </m:oMath>
      <w:r>
        <w:rPr>
          <w:rFonts w:eastAsiaTheme="minorEastAsia"/>
        </w:rPr>
        <w:t xml:space="preserve">): </w:t>
      </w:r>
      <w:bookmarkStart w:id="12" w:name="_Hlk30591923"/>
      <m:oMath>
        <m:r>
          <w:rPr>
            <w:rFonts w:ascii="Cambria Math" w:eastAsiaTheme="minorEastAsia" w:hAnsi="Cambria Math"/>
          </w:rPr>
          <m:t>10,5+6,75</m:t>
        </m:r>
        <w:bookmarkEnd w:id="12"/>
        <m:r>
          <w:rPr>
            <w:rFonts w:ascii="Cambria Math" w:eastAsiaTheme="minorEastAsia" w:hAnsi="Cambria Math"/>
          </w:rPr>
          <m:t>=17,25</m:t>
        </m:r>
      </m:oMath>
    </w:p>
    <w:p w14:paraId="5B9890A4" w14:textId="77777777" w:rsidR="0079634A" w:rsidRDefault="0079634A" w:rsidP="0079634A">
      <w:pPr>
        <w:spacing w:after="0"/>
      </w:pPr>
    </w:p>
    <w:p w14:paraId="06F1DC4B" w14:textId="77777777" w:rsidR="0079634A" w:rsidRDefault="0079634A" w:rsidP="0079634A">
      <w:pPr>
        <w:spacing w:after="0"/>
        <w:rPr>
          <w:rFonts w:eastAsiaTheme="minorEastAsia"/>
        </w:rPr>
      </w:pPr>
      <w:r>
        <w:lastRenderedPageBreak/>
        <w:t xml:space="preserve">Hvis der findes observationer der er mindre end </w:t>
      </w:r>
      <m:oMath>
        <m:r>
          <w:rPr>
            <w:rFonts w:ascii="Cambria Math" w:hAnsi="Cambria Math"/>
          </w:rPr>
          <m:t>-0,75</m:t>
        </m:r>
      </m:oMath>
      <w:r>
        <w:rPr>
          <w:rFonts w:eastAsiaTheme="minorEastAsia"/>
        </w:rPr>
        <w:t xml:space="preserve"> eller større end </w:t>
      </w:r>
      <m:oMath>
        <m:r>
          <w:rPr>
            <w:rFonts w:ascii="Cambria Math" w:eastAsiaTheme="minorEastAsia" w:hAnsi="Cambria Math"/>
          </w:rPr>
          <m:t>17,25</m:t>
        </m:r>
      </m:oMath>
      <w:r>
        <w:rPr>
          <w:rFonts w:eastAsiaTheme="minorEastAsia"/>
        </w:rPr>
        <w:t>, så er det en outlier.</w:t>
      </w:r>
    </w:p>
    <w:p w14:paraId="079CCE44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19</m:t>
        </m:r>
      </m:oMath>
      <w:r>
        <w:rPr>
          <w:rFonts w:eastAsiaTheme="minorEastAsia"/>
        </w:rPr>
        <w:t xml:space="preserve"> er en outlier.</w:t>
      </w:r>
    </w:p>
    <w:p w14:paraId="25A1AFD7" w14:textId="77777777" w:rsidR="0079634A" w:rsidRDefault="0079634A" w:rsidP="0079634A">
      <w:pPr>
        <w:spacing w:after="0"/>
      </w:pPr>
    </w:p>
    <w:p w14:paraId="46E39A3B" w14:textId="77777777" w:rsidR="0079634A" w:rsidRDefault="0079634A" w:rsidP="0079634A">
      <w:pPr>
        <w:spacing w:after="0"/>
      </w:pPr>
      <w:r>
        <w:rPr>
          <w:b/>
          <w:bCs/>
        </w:rPr>
        <w:t>Boksplot</w:t>
      </w:r>
    </w:p>
    <w:p w14:paraId="24A09C15" w14:textId="77777777" w:rsidR="0079634A" w:rsidRDefault="0079634A" w:rsidP="0079634A">
      <w:pPr>
        <w:spacing w:after="0"/>
      </w:pPr>
      <w:r>
        <w:t>Et boksplot viser minimumsværdi, maksimumsværdi samt kvartilerne.</w:t>
      </w:r>
    </w:p>
    <w:p w14:paraId="40909284" w14:textId="77777777" w:rsidR="0079634A" w:rsidRDefault="0079634A" w:rsidP="0079634A">
      <w:pPr>
        <w:spacing w:after="0"/>
      </w:pPr>
      <w:r>
        <w:t>Det frembringes i WordMat: ”Statistik” - ”boksplot” - indtast mindsteværdi, størsteværdi samt kvartilerne:</w:t>
      </w:r>
    </w:p>
    <w:p w14:paraId="0551B756" w14:textId="77777777" w:rsidR="0079634A" w:rsidRDefault="0079634A" w:rsidP="0079634A">
      <w:pPr>
        <w:spacing w:after="0"/>
        <w:ind w:left="1304"/>
      </w:pPr>
      <w:r>
        <w:rPr>
          <w:noProof/>
        </w:rPr>
        <w:drawing>
          <wp:inline distT="0" distB="0" distL="0" distR="0" wp14:anchorId="6516CB56" wp14:editId="0D22B002">
            <wp:extent cx="4520166" cy="3073400"/>
            <wp:effectExtent l="0" t="0" r="0" b="0"/>
            <wp:docPr id="104180615" name="Billede 104180615" descr="Et billede, der indeholder tekst, skærmbilled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615" name="Billede 104180615" descr="Et billede, der indeholder tekst, skærmbillede, diagram, linje/rækk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6710" cy="30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30881" w14:textId="77777777" w:rsidR="0079634A" w:rsidRPr="00823D3A" w:rsidRDefault="0079634A" w:rsidP="0079634A">
      <w:pPr>
        <w:spacing w:after="0"/>
      </w:pPr>
    </w:p>
    <w:p w14:paraId="489A016C" w14:textId="77777777" w:rsidR="0079634A" w:rsidRDefault="0079634A" w:rsidP="0079634A">
      <w:pPr>
        <w:spacing w:after="0"/>
        <w:rPr>
          <w:rFonts w:eastAsiaTheme="minorEastAsia"/>
        </w:rPr>
      </w:pPr>
      <w:r>
        <w:t xml:space="preserve">Kassen i boksplottet afgrænses af nedre og øvre kvartil og indeholder altså de midterste </w:t>
      </w:r>
      <m:oMath>
        <m:r>
          <w:rPr>
            <w:rFonts w:ascii="Cambria Math" w:hAnsi="Cambria Math"/>
          </w:rPr>
          <m:t>50%</m:t>
        </m:r>
      </m:oMath>
      <w:r>
        <w:rPr>
          <w:rFonts w:eastAsiaTheme="minorEastAsia"/>
        </w:rPr>
        <w:t xml:space="preserve"> af observationerne. </w:t>
      </w:r>
    </w:p>
    <w:p w14:paraId="57356DCA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I dette tilfælde går kassen fra </w:t>
      </w:r>
      <m:oMath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10,5</m:t>
        </m:r>
      </m:oMath>
      <w:r>
        <w:rPr>
          <w:rFonts w:eastAsiaTheme="minorEastAsia"/>
        </w:rPr>
        <w:t xml:space="preserve">  -  dvs. at </w:t>
      </w:r>
      <m:oMath>
        <m:r>
          <w:rPr>
            <w:rFonts w:ascii="Cambria Math" w:eastAsiaTheme="minorEastAsia" w:hAnsi="Cambria Math"/>
          </w:rPr>
          <m:t>50%</m:t>
        </m:r>
      </m:oMath>
      <w:r>
        <w:rPr>
          <w:rFonts w:eastAsiaTheme="minorEastAsia"/>
        </w:rPr>
        <w:t xml:space="preserve"> af hf-eleverne har besøgt mellem </w:t>
      </w:r>
      <m:oMath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10,5</m:t>
        </m:r>
      </m:oMath>
      <w:r>
        <w:rPr>
          <w:rFonts w:eastAsiaTheme="minorEastAsia"/>
        </w:rPr>
        <w:t xml:space="preserve"> lande.</w:t>
      </w:r>
    </w:p>
    <w:p w14:paraId="37C1CB41" w14:textId="77777777" w:rsidR="0079634A" w:rsidRDefault="0079634A" w:rsidP="0079634A">
      <w:pPr>
        <w:spacing w:after="0"/>
        <w:rPr>
          <w:rFonts w:eastAsiaTheme="minorEastAsia"/>
        </w:rPr>
      </w:pPr>
    </w:p>
    <w:p w14:paraId="209F5388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  <w:b/>
          <w:bCs/>
        </w:rPr>
        <w:t>Skævhed i boksplot</w:t>
      </w:r>
    </w:p>
    <w:p w14:paraId="1B5456DC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Fordelingen af observationerne kan være enten </w:t>
      </w:r>
      <w:r>
        <w:rPr>
          <w:rFonts w:eastAsiaTheme="minorEastAsia"/>
          <w:i/>
          <w:iCs/>
        </w:rPr>
        <w:t xml:space="preserve">symmetrisk, venstreskæv </w:t>
      </w:r>
      <w:r>
        <w:rPr>
          <w:rFonts w:eastAsiaTheme="minorEastAsia"/>
        </w:rPr>
        <w:t xml:space="preserve">eller </w:t>
      </w:r>
      <w:proofErr w:type="spellStart"/>
      <w:r>
        <w:rPr>
          <w:rFonts w:eastAsiaTheme="minorEastAsia"/>
          <w:i/>
          <w:iCs/>
        </w:rPr>
        <w:t>højreskæv</w:t>
      </w:r>
      <w:proofErr w:type="spellEnd"/>
      <w:r>
        <w:rPr>
          <w:rFonts w:eastAsiaTheme="minorEastAsia"/>
        </w:rPr>
        <w:t>.</w:t>
      </w:r>
    </w:p>
    <w:p w14:paraId="0D94F038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>Det defineres således:</w:t>
      </w:r>
    </w:p>
    <w:p w14:paraId="25D053F6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  <w:i/>
          <w:iCs/>
        </w:rPr>
        <w:t>Symmetrisk:</w:t>
      </w:r>
      <w:r>
        <w:rPr>
          <w:rFonts w:eastAsiaTheme="minorEastAsia"/>
        </w:rPr>
        <w:t xml:space="preserve"> Middelværdien er lig med medianen (kassen er symmetrisk)</w:t>
      </w:r>
    </w:p>
    <w:p w14:paraId="4431C003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  <w:i/>
          <w:iCs/>
        </w:rPr>
        <w:t>Venstreskæv:</w:t>
      </w:r>
      <w:r>
        <w:rPr>
          <w:rFonts w:eastAsiaTheme="minorEastAsia"/>
        </w:rPr>
        <w:t xml:space="preserve"> Middelværdien er mindre end medianen (venstre side af kassen ”vejer” mest)</w:t>
      </w:r>
    </w:p>
    <w:p w14:paraId="439FFD0B" w14:textId="77777777" w:rsidR="0079634A" w:rsidRPr="0084624B" w:rsidRDefault="0079634A" w:rsidP="0079634A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  <w:i/>
          <w:iCs/>
        </w:rPr>
        <w:t>Højreskæv</w:t>
      </w:r>
      <w:proofErr w:type="spellEnd"/>
      <w:r>
        <w:rPr>
          <w:rFonts w:eastAsiaTheme="minorEastAsia"/>
          <w:i/>
          <w:iCs/>
        </w:rPr>
        <w:t xml:space="preserve">: </w:t>
      </w:r>
      <w:r>
        <w:rPr>
          <w:rFonts w:eastAsiaTheme="minorEastAsia"/>
        </w:rPr>
        <w:t>Middelværdien er større end medianen (højre side af kassen ”vejer” mest)</w:t>
      </w:r>
    </w:p>
    <w:p w14:paraId="6BBB738C" w14:textId="77777777" w:rsidR="0079634A" w:rsidRDefault="0079634A" w:rsidP="0079634A">
      <w:pPr>
        <w:spacing w:after="0"/>
        <w:rPr>
          <w:rFonts w:eastAsiaTheme="minorEastAsia"/>
        </w:rPr>
      </w:pPr>
    </w:p>
    <w:p w14:paraId="114CB8EC" w14:textId="77777777" w:rsidR="0079634A" w:rsidRPr="008035B3" w:rsidRDefault="0079634A" w:rsidP="0079634A">
      <w:pPr>
        <w:spacing w:after="0"/>
        <w:rPr>
          <w:b/>
          <w:bCs/>
        </w:rPr>
      </w:pPr>
      <w:r w:rsidRPr="008035B3">
        <w:rPr>
          <w:b/>
          <w:bCs/>
        </w:rPr>
        <w:t>Sammenligning af boksplots:</w:t>
      </w:r>
    </w:p>
    <w:p w14:paraId="475F0156" w14:textId="77777777" w:rsidR="0079634A" w:rsidRDefault="0079634A" w:rsidP="0079634A">
      <w:pPr>
        <w:spacing w:after="0"/>
      </w:pPr>
      <w:r>
        <w:t>Ofte benyttes boksplot til at sammenligne to observationssæt.</w:t>
      </w:r>
    </w:p>
    <w:p w14:paraId="22C324A6" w14:textId="77777777" w:rsidR="0079634A" w:rsidRDefault="0079634A" w:rsidP="0079634A">
      <w:r>
        <w:t>Her kan man sammenligne størrelse og spredning samt eventuelt sammenfaldende værdier. Det er vigtigt at forklare betydningen af sine observationer.</w:t>
      </w:r>
    </w:p>
    <w:p w14:paraId="3361B711" w14:textId="77777777" w:rsidR="0079634A" w:rsidRDefault="0079634A" w:rsidP="0079634A">
      <w:pPr>
        <w:spacing w:after="0"/>
      </w:pPr>
      <w:r>
        <w:t xml:space="preserve">Eksempel: </w:t>
      </w:r>
    </w:p>
    <w:p w14:paraId="46B8DAF2" w14:textId="77777777" w:rsidR="0079634A" w:rsidRDefault="0079634A" w:rsidP="0079634A">
      <w:pPr>
        <w:spacing w:after="0"/>
      </w:pPr>
      <w:r>
        <w:t>Hf-klassens lærere er også blevet spurgt om, hvor mange andre lande de har besøgt.</w:t>
      </w:r>
    </w:p>
    <w:p w14:paraId="3CB4529A" w14:textId="77777777" w:rsidR="0079634A" w:rsidRDefault="0079634A" w:rsidP="0079634A">
      <w:pPr>
        <w:spacing w:after="0"/>
      </w:pPr>
      <w:r>
        <w:t>De to boksplot tegnes i samme figur:</w:t>
      </w:r>
    </w:p>
    <w:p w14:paraId="6CD1ABDE" w14:textId="77777777" w:rsidR="0079634A" w:rsidRDefault="0079634A" w:rsidP="0079634A">
      <w:pPr>
        <w:spacing w:after="0"/>
      </w:pPr>
      <w:r>
        <w:rPr>
          <w:noProof/>
        </w:rPr>
        <w:lastRenderedPageBreak/>
        <w:drawing>
          <wp:inline distT="0" distB="0" distL="0" distR="0" wp14:anchorId="723E099E" wp14:editId="5103F599">
            <wp:extent cx="5364480" cy="2242820"/>
            <wp:effectExtent l="0" t="0" r="7620" b="5080"/>
            <wp:docPr id="104180616" name="Diagram 1041806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</w:t>
      </w:r>
    </w:p>
    <w:p w14:paraId="42BB6041" w14:textId="77777777" w:rsidR="0079634A" w:rsidRDefault="0079634A" w:rsidP="0079634A">
      <w:pPr>
        <w:spacing w:after="0"/>
      </w:pPr>
    </w:p>
    <w:p w14:paraId="29687A27" w14:textId="77777777" w:rsidR="0079634A" w:rsidRDefault="0079634A" w:rsidP="0079634A">
      <w:r>
        <w:t>Boksplottene sammenlignes:</w:t>
      </w:r>
    </w:p>
    <w:p w14:paraId="2822EA29" w14:textId="77777777" w:rsidR="0079634A" w:rsidRDefault="0079634A" w:rsidP="0079634A">
      <w:pPr>
        <w:spacing w:after="0"/>
        <w:ind w:left="1304"/>
      </w:pPr>
      <w:r>
        <w:t xml:space="preserve">Spredningen for lærerne er væsentlig større end spredning hos hf-eleverne. </w:t>
      </w:r>
    </w:p>
    <w:p w14:paraId="5E7DDF04" w14:textId="77777777" w:rsidR="0079634A" w:rsidRDefault="0079634A" w:rsidP="0079634A">
      <w:pPr>
        <w:ind w:left="1304"/>
      </w:pPr>
      <w:r>
        <w:t>Dvs. der er større forskel på, hvor antal besøgte lande blandt lærerne end for hf-eleverne.</w:t>
      </w:r>
    </w:p>
    <w:p w14:paraId="1DE1782B" w14:textId="77777777" w:rsidR="0079634A" w:rsidRDefault="0079634A" w:rsidP="0079634A">
      <w:pPr>
        <w:spacing w:after="0"/>
        <w:ind w:left="1304"/>
      </w:pPr>
      <w:r>
        <w:t>Medianen for hf-eleverne er næsten den samme som nedre kvartil for lærerne.</w:t>
      </w:r>
    </w:p>
    <w:p w14:paraId="6DCBC9AF" w14:textId="77777777" w:rsidR="0079634A" w:rsidRDefault="0079634A" w:rsidP="0079634A">
      <w:pPr>
        <w:ind w:left="1304"/>
        <w:rPr>
          <w:rFonts w:eastAsiaTheme="minorEastAsia"/>
        </w:rPr>
      </w:pPr>
      <w:r>
        <w:t xml:space="preserve">Dvs. </w:t>
      </w:r>
      <m:oMath>
        <m:r>
          <w:rPr>
            <w:rFonts w:ascii="Cambria Math" w:hAnsi="Cambria Math"/>
          </w:rPr>
          <m:t>50%</m:t>
        </m:r>
      </m:oMath>
      <w:r>
        <w:rPr>
          <w:rFonts w:eastAsiaTheme="minorEastAsia"/>
        </w:rPr>
        <w:t xml:space="preserve"> af hf-eleverne har besøgt 8 eller færre lande, mens dette kun gælder for </w:t>
      </w:r>
      <m:oMath>
        <m:r>
          <w:rPr>
            <w:rFonts w:ascii="Cambria Math" w:eastAsiaTheme="minorEastAsia" w:hAnsi="Cambria Math"/>
          </w:rPr>
          <m:t>25%</m:t>
        </m:r>
      </m:oMath>
      <w:r>
        <w:rPr>
          <w:rFonts w:eastAsiaTheme="minorEastAsia"/>
        </w:rPr>
        <w:t xml:space="preserve"> af lærerne.</w:t>
      </w:r>
    </w:p>
    <w:p w14:paraId="3E052407" w14:textId="77777777" w:rsidR="0079634A" w:rsidRDefault="0079634A" w:rsidP="0079634A">
      <w:pPr>
        <w:ind w:left="1304"/>
        <w:rPr>
          <w:rFonts w:eastAsiaTheme="minorEastAsia"/>
        </w:rPr>
      </w:pPr>
      <w:r>
        <w:t xml:space="preserve">Medianen for lærerne aflæses til </w:t>
      </w:r>
      <m:oMath>
        <m:r>
          <w:rPr>
            <w:rFonts w:ascii="Cambria Math" w:hAnsi="Cambria Math"/>
          </w:rPr>
          <m:t>11</m:t>
        </m:r>
      </m:oMath>
      <w:r>
        <w:rPr>
          <w:rFonts w:eastAsiaTheme="minorEastAsia"/>
        </w:rPr>
        <w:t xml:space="preserve"> og </w:t>
      </w:r>
      <w:r>
        <w:t xml:space="preserve">ligger over hf’s øvre kvartil på </w:t>
      </w:r>
      <m:oMath>
        <m:r>
          <w:rPr>
            <w:rFonts w:ascii="Cambria Math" w:hAnsi="Cambria Math"/>
          </w:rPr>
          <m:t>10,5</m:t>
        </m:r>
      </m:oMath>
      <w:r>
        <w:t xml:space="preserve">. Dvs. </w:t>
      </w:r>
      <m:oMath>
        <m:r>
          <w:rPr>
            <w:rFonts w:ascii="Cambria Math" w:hAnsi="Cambria Math"/>
          </w:rPr>
          <m:t>50%</m:t>
        </m:r>
      </m:oMath>
      <w:r>
        <w:rPr>
          <w:rFonts w:eastAsiaTheme="minorEastAsia"/>
        </w:rPr>
        <w:t xml:space="preserve"> af lærerne har rejst i 11 eller færre lande, mens 25% af hf-kursisterne har rejst i 10,5 lande eller færre.</w:t>
      </w:r>
    </w:p>
    <w:p w14:paraId="6643F848" w14:textId="77777777" w:rsidR="0079634A" w:rsidRDefault="0079634A" w:rsidP="0079634A">
      <w:pPr>
        <w:spacing w:after="0"/>
        <w:ind w:left="1304"/>
      </w:pPr>
      <w:r>
        <w:t xml:space="preserve">Spredningen er større hos lærerne, men selve boksen ligger længere til højre, så overordnet kan man se, at lærerne har besøgt flere lande end hf’erne. </w:t>
      </w:r>
    </w:p>
    <w:p w14:paraId="5898D6E5" w14:textId="77777777" w:rsidR="0079634A" w:rsidRDefault="0079634A" w:rsidP="0079634A">
      <w:pPr>
        <w:spacing w:after="0"/>
      </w:pPr>
    </w:p>
    <w:p w14:paraId="0601D1FA" w14:textId="77777777" w:rsidR="0079634A" w:rsidRPr="00D85EC5" w:rsidRDefault="0079634A" w:rsidP="0079634A">
      <w:pPr>
        <w:pStyle w:val="Overskrift1"/>
      </w:pPr>
      <w:bookmarkStart w:id="13" w:name="_Toc132032754"/>
      <w:r w:rsidRPr="00D85EC5">
        <w:t xml:space="preserve">Deskriptiv statistik </w:t>
      </w:r>
      <w:r>
        <w:t xml:space="preserve">- </w:t>
      </w:r>
      <w:r w:rsidRPr="00D85EC5">
        <w:t>Grupperede observationer</w:t>
      </w:r>
      <w:bookmarkEnd w:id="13"/>
    </w:p>
    <w:p w14:paraId="0EE12383" w14:textId="77777777" w:rsidR="0079634A" w:rsidRDefault="0079634A" w:rsidP="0079634A">
      <w:pPr>
        <w:spacing w:after="0"/>
      </w:pPr>
      <w:r>
        <w:t>For store observationssæt kan det være en fordel at gruppere observationerne i intervaller.</w:t>
      </w:r>
    </w:p>
    <w:p w14:paraId="6E1C1B33" w14:textId="77777777" w:rsidR="0079634A" w:rsidRDefault="0079634A" w:rsidP="0079634A">
      <w:pPr>
        <w:spacing w:after="0"/>
      </w:pPr>
    </w:p>
    <w:p w14:paraId="474C5FB9" w14:textId="77777777" w:rsidR="0079634A" w:rsidRPr="005F4784" w:rsidRDefault="0079634A" w:rsidP="0079634A">
      <w:pPr>
        <w:pStyle w:val="Overskrift4"/>
      </w:pPr>
    </w:p>
    <w:p w14:paraId="58012122" w14:textId="77777777" w:rsidR="0079634A" w:rsidRDefault="0079634A" w:rsidP="0079634A">
      <w:pPr>
        <w:spacing w:after="0"/>
      </w:pPr>
      <w:r>
        <w:t xml:space="preserve">Man har indsamlet højderne (i cm) fra </w:t>
      </w:r>
      <m:oMath>
        <m:r>
          <w:rPr>
            <w:rFonts w:ascii="Cambria Math" w:hAnsi="Cambria Math"/>
          </w:rPr>
          <m:t>50</m:t>
        </m:r>
      </m:oMath>
      <w:r>
        <w:rPr>
          <w:rFonts w:eastAsiaTheme="minorEastAsia"/>
        </w:rPr>
        <w:t xml:space="preserve"> HF-kursister. Her er de </w:t>
      </w:r>
      <m:oMath>
        <m:r>
          <w:rPr>
            <w:rFonts w:ascii="Cambria Math" w:eastAsiaTheme="minorEastAsia" w:hAnsi="Cambria Math"/>
          </w:rPr>
          <m:t xml:space="preserve">50 </m:t>
        </m:r>
      </m:oMath>
      <w:r>
        <w:rPr>
          <w:rFonts w:eastAsiaTheme="minorEastAsia"/>
        </w:rPr>
        <w:t>observationer i tilfældig rækkefølge:</w:t>
      </w:r>
    </w:p>
    <w:p w14:paraId="3E6108E4" w14:textId="77777777" w:rsidR="0079634A" w:rsidRPr="009614D0" w:rsidRDefault="0079634A" w:rsidP="0079634A">
      <w:pPr>
        <w:spacing w:after="0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188,</m:t>
          </m:r>
          <m:r>
            <w:rPr>
              <w:rFonts w:ascii="Cambria Math" w:hAnsi="Cambria Math"/>
            </w:rPr>
            <m:t xml:space="preserve"> 163, </m:t>
          </m:r>
          <m:r>
            <w:rPr>
              <w:rFonts w:ascii="Cambria Math" w:eastAsiaTheme="minorEastAsia" w:hAnsi="Cambria Math"/>
            </w:rPr>
            <m:t>174,</m:t>
          </m:r>
          <m:r>
            <w:rPr>
              <w:rFonts w:ascii="Cambria Math" w:hAnsi="Cambria Math"/>
            </w:rPr>
            <m:t xml:space="preserve"> 166,</m:t>
          </m:r>
          <m:r>
            <w:rPr>
              <w:rFonts w:ascii="Cambria Math" w:eastAsiaTheme="minorEastAsia" w:hAnsi="Cambria Math"/>
            </w:rPr>
            <m:t xml:space="preserve"> 177,</m:t>
          </m:r>
          <m:r>
            <w:rPr>
              <w:rFonts w:ascii="Cambria Math" w:hAnsi="Cambria Math"/>
            </w:rPr>
            <m:t xml:space="preserve"> 173, </m:t>
          </m:r>
          <m:r>
            <w:rPr>
              <w:rFonts w:ascii="Cambria Math" w:eastAsiaTheme="minorEastAsia" w:hAnsi="Cambria Math"/>
            </w:rPr>
            <m:t xml:space="preserve">186, </m:t>
          </m:r>
          <m:r>
            <w:rPr>
              <w:rFonts w:ascii="Cambria Math" w:hAnsi="Cambria Math"/>
            </w:rPr>
            <m:t xml:space="preserve">167, </m:t>
          </m:r>
          <m:r>
            <w:rPr>
              <w:rFonts w:ascii="Cambria Math" w:eastAsiaTheme="minorEastAsia" w:hAnsi="Cambria Math"/>
            </w:rPr>
            <m:t xml:space="preserve">182, </m:t>
          </m:r>
          <m:r>
            <w:rPr>
              <w:rFonts w:ascii="Cambria Math" w:hAnsi="Cambria Math"/>
            </w:rPr>
            <m:t xml:space="preserve">167, 168, 169, 170, 172, 172, </m:t>
          </m:r>
          <m:r>
            <w:rPr>
              <w:rFonts w:ascii="Cambria Math" w:eastAsiaTheme="minorEastAsia" w:hAnsi="Cambria Math"/>
            </w:rPr>
            <m:t xml:space="preserve">183, </m:t>
          </m:r>
          <m:r>
            <w:rPr>
              <w:rFonts w:ascii="Cambria Math" w:hAnsi="Cambria Math"/>
            </w:rPr>
            <m:t xml:space="preserve">172, </m:t>
          </m:r>
          <m:r>
            <w:rPr>
              <w:rFonts w:ascii="Cambria Math" w:eastAsiaTheme="minorEastAsia" w:hAnsi="Cambria Math"/>
            </w:rPr>
            <m:t>174,</m:t>
          </m:r>
          <m:r>
            <w:rPr>
              <w:rFonts w:ascii="Cambria Math" w:hAnsi="Cambria Math"/>
            </w:rPr>
            <m:t xml:space="preserve"> 173, </m:t>
          </m:r>
          <m:r>
            <w:rPr>
              <w:rFonts w:ascii="Cambria Math" w:eastAsiaTheme="minorEastAsia" w:hAnsi="Cambria Math"/>
            </w:rPr>
            <m:t>175,</m:t>
          </m:r>
        </m:oMath>
      </m:oMathPara>
    </w:p>
    <w:p w14:paraId="2B9EF01E" w14:textId="77777777" w:rsidR="0079634A" w:rsidRPr="009614D0" w:rsidRDefault="0079634A" w:rsidP="0079634A">
      <w:pPr>
        <w:spacing w:after="0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 xml:space="preserve">173, 162, </m:t>
          </m:r>
          <m:r>
            <w:rPr>
              <w:rFonts w:ascii="Cambria Math" w:eastAsiaTheme="minorEastAsia" w:hAnsi="Cambria Math"/>
            </w:rPr>
            <m:t xml:space="preserve">188, 174, 201, 174, </m:t>
          </m:r>
          <m:r>
            <w:rPr>
              <w:rFonts w:ascii="Cambria Math" w:hAnsi="Cambria Math"/>
            </w:rPr>
            <m:t xml:space="preserve">167, </m:t>
          </m:r>
          <m:r>
            <w:rPr>
              <w:rFonts w:ascii="Cambria Math" w:eastAsiaTheme="minorEastAsia" w:hAnsi="Cambria Math"/>
            </w:rPr>
            <m:t xml:space="preserve">175, </m:t>
          </m:r>
          <m:r>
            <w:rPr>
              <w:rFonts w:ascii="Cambria Math" w:hAnsi="Cambria Math"/>
            </w:rPr>
            <m:t xml:space="preserve">172, </m:t>
          </m:r>
          <m:r>
            <w:rPr>
              <w:rFonts w:ascii="Cambria Math" w:eastAsiaTheme="minorEastAsia" w:hAnsi="Cambria Math"/>
            </w:rPr>
            <m:t xml:space="preserve">176, 177, 187, 178, 179, 181, </m:t>
          </m:r>
          <m:r>
            <w:rPr>
              <w:rFonts w:ascii="Cambria Math" w:hAnsi="Cambria Math"/>
            </w:rPr>
            <m:t xml:space="preserve">173, </m:t>
          </m:r>
          <m:r>
            <w:rPr>
              <w:rFonts w:ascii="Cambria Math" w:eastAsiaTheme="minorEastAsia" w:hAnsi="Cambria Math"/>
            </w:rPr>
            <m:t xml:space="preserve">182, </m:t>
          </m:r>
          <m:r>
            <w:rPr>
              <w:rFonts w:ascii="Cambria Math" w:hAnsi="Cambria Math"/>
            </w:rPr>
            <m:t>170, 173,</m:t>
          </m:r>
          <m:r>
            <w:rPr>
              <w:rFonts w:ascii="Cambria Math" w:eastAsiaTheme="minorEastAsia" w:hAnsi="Cambria Math"/>
            </w:rPr>
            <m:t xml:space="preserve"> 187,</m:t>
          </m:r>
        </m:oMath>
      </m:oMathPara>
    </w:p>
    <w:p w14:paraId="0B6E67D9" w14:textId="77777777" w:rsidR="0079634A" w:rsidRPr="009614D0" w:rsidRDefault="0079634A" w:rsidP="0079634A">
      <w:pPr>
        <w:spacing w:after="0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 xml:space="preserve">177, 183, </m:t>
          </m:r>
          <m:r>
            <w:rPr>
              <w:rFonts w:ascii="Cambria Math" w:hAnsi="Cambria Math"/>
            </w:rPr>
            <m:t xml:space="preserve">165, </m:t>
          </m:r>
          <m:r>
            <w:rPr>
              <w:rFonts w:ascii="Cambria Math" w:eastAsiaTheme="minorEastAsia" w:hAnsi="Cambria Math"/>
            </w:rPr>
            <m:t xml:space="preserve">184, </m:t>
          </m:r>
          <m:r>
            <w:rPr>
              <w:rFonts w:ascii="Cambria Math" w:hAnsi="Cambria Math"/>
            </w:rPr>
            <m:t xml:space="preserve">166, 167, </m:t>
          </m:r>
          <m:r>
            <w:rPr>
              <w:rFonts w:ascii="Cambria Math" w:eastAsiaTheme="minorEastAsia" w:hAnsi="Cambria Math"/>
            </w:rPr>
            <m:t>182, 175, 190,</m:t>
          </m:r>
          <m:r>
            <w:rPr>
              <w:rFonts w:ascii="Cambria Math" w:hAnsi="Cambria Math"/>
            </w:rPr>
            <m:t>162</m:t>
          </m:r>
        </m:oMath>
      </m:oMathPara>
    </w:p>
    <w:p w14:paraId="2592A51C" w14:textId="77777777" w:rsidR="0079634A" w:rsidRDefault="0079634A" w:rsidP="0079634A">
      <w:pPr>
        <w:spacing w:after="0"/>
        <w:rPr>
          <w:rFonts w:eastAsiaTheme="minorEastAsia"/>
        </w:rPr>
      </w:pPr>
    </w:p>
    <w:p w14:paraId="05D4DC45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Først ordnes de </w:t>
      </w:r>
      <m:oMath>
        <m:r>
          <w:rPr>
            <w:rFonts w:ascii="Cambria Math" w:eastAsiaTheme="minorEastAsia" w:hAnsi="Cambria Math"/>
          </w:rPr>
          <m:t>50</m:t>
        </m:r>
      </m:oMath>
      <w:r>
        <w:rPr>
          <w:rFonts w:eastAsiaTheme="minorEastAsia"/>
        </w:rPr>
        <w:t xml:space="preserve"> observationer i stigende rækkefølge:</w:t>
      </w:r>
    </w:p>
    <w:p w14:paraId="52130647" w14:textId="77777777" w:rsidR="0079634A" w:rsidRDefault="0079634A" w:rsidP="0079634A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162, 162, 163, 165, 166, 166, 167, 167, 167, 167, 168, 169, 170, 170, 172, 172, 172, 172, 173, 173, </m:t>
          </m:r>
        </m:oMath>
      </m:oMathPara>
    </w:p>
    <w:p w14:paraId="3EE4A903" w14:textId="77777777" w:rsidR="0079634A" w:rsidRDefault="0079634A" w:rsidP="0079634A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173, 173, 173, </m:t>
          </m:r>
          <m:r>
            <w:rPr>
              <w:rFonts w:ascii="Cambria Math" w:eastAsiaTheme="minorEastAsia" w:hAnsi="Cambria Math"/>
            </w:rPr>
            <m:t xml:space="preserve">174, 174, 174, 174, 175, 175, 175, 176, 177, 177, 177, 178, 179, 181, 182, 182, 182, </m:t>
          </m:r>
        </m:oMath>
      </m:oMathPara>
    </w:p>
    <w:p w14:paraId="65349C0C" w14:textId="77777777" w:rsidR="0079634A" w:rsidRPr="006100B0" w:rsidRDefault="0079634A" w:rsidP="0079634A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183, 183, 184, 186, 187, 187, 188, 188, 190, 201</m:t>
          </m:r>
        </m:oMath>
      </m:oMathPara>
    </w:p>
    <w:p w14:paraId="2E536EE6" w14:textId="77777777" w:rsidR="0079634A" w:rsidRDefault="0079634A" w:rsidP="0079634A">
      <w:pPr>
        <w:spacing w:after="0"/>
        <w:rPr>
          <w:rFonts w:eastAsiaTheme="minorEastAsia"/>
        </w:rPr>
      </w:pPr>
    </w:p>
    <w:p w14:paraId="51D22EAB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lastRenderedPageBreak/>
        <w:t>Vi vælger nu at gruppere vores data i intervaller på 5 cm.</w:t>
      </w:r>
    </w:p>
    <w:p w14:paraId="07552A0B" w14:textId="77777777" w:rsidR="0079634A" w:rsidRDefault="0079634A" w:rsidP="0079634A">
      <w:pPr>
        <w:spacing w:after="0"/>
        <w:rPr>
          <w:rFonts w:eastAsiaTheme="minorEastAsia"/>
        </w:rPr>
      </w:pPr>
    </w:p>
    <w:p w14:paraId="693AAC41" w14:textId="77777777" w:rsidR="0079634A" w:rsidRPr="00857E0E" w:rsidRDefault="0079634A" w:rsidP="0079634A">
      <w:pPr>
        <w:rPr>
          <w:rFonts w:eastAsiaTheme="minorEastAsia"/>
        </w:rPr>
      </w:pPr>
      <w:r>
        <w:rPr>
          <w:rFonts w:eastAsiaTheme="minorEastAsia"/>
        </w:rPr>
        <w:t xml:space="preserve">For at få overblik udfyldes et </w:t>
      </w:r>
      <w:r w:rsidRPr="00B40285">
        <w:rPr>
          <w:rFonts w:eastAsiaTheme="minorEastAsia"/>
        </w:rPr>
        <w:t>hyppighedsskema</w:t>
      </w:r>
      <w:r>
        <w:rPr>
          <w:rFonts w:eastAsiaTheme="minorEastAsia"/>
        </w:rPr>
        <w:t xml:space="preserve"> ligesom ved </w:t>
      </w:r>
      <w:proofErr w:type="spellStart"/>
      <w:r>
        <w:rPr>
          <w:rFonts w:eastAsiaTheme="minorEastAsia"/>
        </w:rPr>
        <w:t>ugrupperede</w:t>
      </w:r>
      <w:proofErr w:type="spellEnd"/>
      <w:r>
        <w:rPr>
          <w:rFonts w:eastAsiaTheme="minorEastAsia"/>
        </w:rPr>
        <w:t xml:space="preserve"> observationer: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22"/>
        <w:gridCol w:w="1294"/>
        <w:gridCol w:w="2413"/>
        <w:gridCol w:w="2519"/>
      </w:tblGrid>
      <w:tr w:rsidR="0079634A" w:rsidRPr="002E5CFC" w14:paraId="11834B12" w14:textId="77777777" w:rsidTr="00F006F3">
        <w:tc>
          <w:tcPr>
            <w:tcW w:w="0" w:type="auto"/>
          </w:tcPr>
          <w:p w14:paraId="0AEF25AA" w14:textId="77777777" w:rsidR="0079634A" w:rsidRPr="002E5CFC" w:rsidRDefault="0079634A" w:rsidP="00F006F3">
            <w:pPr>
              <w:rPr>
                <w:b/>
                <w:bCs/>
              </w:rPr>
            </w:pPr>
            <w:r w:rsidRPr="002E5CFC">
              <w:rPr>
                <w:b/>
                <w:bCs/>
              </w:rPr>
              <w:t>Observationsinterval</w:t>
            </w:r>
          </w:p>
        </w:tc>
        <w:tc>
          <w:tcPr>
            <w:tcW w:w="0" w:type="auto"/>
          </w:tcPr>
          <w:p w14:paraId="13849B64" w14:textId="77777777" w:rsidR="0079634A" w:rsidRPr="002E5CFC" w:rsidRDefault="0079634A" w:rsidP="00F006F3">
            <w:pPr>
              <w:rPr>
                <w:b/>
                <w:bCs/>
              </w:rPr>
            </w:pPr>
            <w:r w:rsidRPr="002E5CFC">
              <w:rPr>
                <w:b/>
                <w:bCs/>
              </w:rPr>
              <w:t>Hyppighed</w:t>
            </w:r>
          </w:p>
        </w:tc>
        <w:tc>
          <w:tcPr>
            <w:tcW w:w="0" w:type="auto"/>
          </w:tcPr>
          <w:p w14:paraId="6149FA62" w14:textId="77777777" w:rsidR="0079634A" w:rsidRPr="002E5CFC" w:rsidRDefault="0079634A" w:rsidP="00F006F3">
            <w:pPr>
              <w:rPr>
                <w:b/>
                <w:bCs/>
              </w:rPr>
            </w:pPr>
            <w:r w:rsidRPr="002E5CFC">
              <w:rPr>
                <w:b/>
                <w:bCs/>
              </w:rPr>
              <w:t>Frekvens i %</w:t>
            </w:r>
          </w:p>
        </w:tc>
        <w:tc>
          <w:tcPr>
            <w:tcW w:w="0" w:type="auto"/>
          </w:tcPr>
          <w:p w14:paraId="6E175E23" w14:textId="77777777" w:rsidR="0079634A" w:rsidRPr="002E5CFC" w:rsidRDefault="0079634A" w:rsidP="00F006F3">
            <w:pPr>
              <w:rPr>
                <w:b/>
                <w:bCs/>
              </w:rPr>
            </w:pPr>
            <w:r w:rsidRPr="002E5CFC">
              <w:rPr>
                <w:b/>
                <w:bCs/>
              </w:rPr>
              <w:t>Kumuleret frekvens i %</w:t>
            </w:r>
          </w:p>
        </w:tc>
      </w:tr>
      <w:tr w:rsidR="0079634A" w14:paraId="2CD54E83" w14:textId="77777777" w:rsidTr="00F006F3">
        <w:tc>
          <w:tcPr>
            <w:tcW w:w="0" w:type="auto"/>
          </w:tcPr>
          <w:p w14:paraId="74E3A9CF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160;165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5CF653D9" w14:textId="77777777" w:rsidR="0079634A" w:rsidRDefault="0079634A" w:rsidP="00F006F3">
            <w:pPr>
              <w:jc w:val="center"/>
            </w:pPr>
            <w:r>
              <w:t>4</w:t>
            </w:r>
          </w:p>
        </w:tc>
        <w:bookmarkStart w:id="14" w:name="_Hlk34579580"/>
        <w:tc>
          <w:tcPr>
            <w:tcW w:w="0" w:type="auto"/>
          </w:tcPr>
          <w:p w14:paraId="70FB8A2A" w14:textId="77777777" w:rsidR="0079634A" w:rsidRDefault="0079634A" w:rsidP="00F006F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w:bookmarkEnd w:id="14"/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</w:rPr>
                  <m:t>=0,08=8%</m:t>
                </m:r>
              </m:oMath>
            </m:oMathPara>
          </w:p>
        </w:tc>
        <w:tc>
          <w:tcPr>
            <w:tcW w:w="0" w:type="auto"/>
          </w:tcPr>
          <w:p w14:paraId="7CF06165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8%</m:t>
                </m:r>
              </m:oMath>
            </m:oMathPara>
          </w:p>
        </w:tc>
      </w:tr>
      <w:tr w:rsidR="0079634A" w14:paraId="4DEC1D15" w14:textId="77777777" w:rsidTr="00F006F3">
        <w:tc>
          <w:tcPr>
            <w:tcW w:w="0" w:type="auto"/>
          </w:tcPr>
          <w:p w14:paraId="0E31C3F2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165;170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2636D1EA" w14:textId="77777777" w:rsidR="0079634A" w:rsidRDefault="0079634A" w:rsidP="00F006F3">
            <w:pPr>
              <w:jc w:val="center"/>
            </w:pPr>
            <w:r>
              <w:t>10</w:t>
            </w:r>
          </w:p>
        </w:tc>
        <w:bookmarkStart w:id="15" w:name="_Hlk34579598"/>
        <w:tc>
          <w:tcPr>
            <w:tcW w:w="0" w:type="auto"/>
          </w:tcPr>
          <w:p w14:paraId="201FBDED" w14:textId="77777777" w:rsidR="0079634A" w:rsidRDefault="0079634A" w:rsidP="00F006F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w:bookmarkEnd w:id="15"/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=0,2=20%</m:t>
                </m:r>
              </m:oMath>
            </m:oMathPara>
          </w:p>
        </w:tc>
        <w:tc>
          <w:tcPr>
            <w:tcW w:w="0" w:type="auto"/>
          </w:tcPr>
          <w:p w14:paraId="7CC5DE3F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28%</m:t>
                </m:r>
              </m:oMath>
            </m:oMathPara>
          </w:p>
        </w:tc>
      </w:tr>
      <w:tr w:rsidR="0079634A" w14:paraId="6DA9ACD5" w14:textId="77777777" w:rsidTr="00F006F3">
        <w:tc>
          <w:tcPr>
            <w:tcW w:w="0" w:type="auto"/>
          </w:tcPr>
          <w:p w14:paraId="762494C1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170;175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746BA00E" w14:textId="77777777" w:rsidR="0079634A" w:rsidRDefault="0079634A" w:rsidP="00F006F3">
            <w:pPr>
              <w:jc w:val="center"/>
            </w:pPr>
            <w:r>
              <w:t>16</w:t>
            </w:r>
          </w:p>
        </w:tc>
        <w:bookmarkStart w:id="16" w:name="_Hlk34579610"/>
        <w:tc>
          <w:tcPr>
            <w:tcW w:w="0" w:type="auto"/>
          </w:tcPr>
          <w:p w14:paraId="5FE8214F" w14:textId="77777777" w:rsidR="0079634A" w:rsidRDefault="0079634A" w:rsidP="00F006F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w:bookmarkEnd w:id="16"/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</w:rPr>
                  <m:t>=0,32=32%</m:t>
                </m:r>
              </m:oMath>
            </m:oMathPara>
          </w:p>
        </w:tc>
        <w:tc>
          <w:tcPr>
            <w:tcW w:w="0" w:type="auto"/>
          </w:tcPr>
          <w:p w14:paraId="6752C703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60%</m:t>
                </m:r>
              </m:oMath>
            </m:oMathPara>
          </w:p>
        </w:tc>
      </w:tr>
      <w:tr w:rsidR="0079634A" w14:paraId="0B739F85" w14:textId="77777777" w:rsidTr="00F006F3">
        <w:tc>
          <w:tcPr>
            <w:tcW w:w="0" w:type="auto"/>
          </w:tcPr>
          <w:p w14:paraId="2158530E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175;180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5476F44F" w14:textId="77777777" w:rsidR="0079634A" w:rsidRDefault="0079634A" w:rsidP="00F006F3">
            <w:pPr>
              <w:jc w:val="center"/>
            </w:pPr>
            <w:r>
              <w:t>6</w:t>
            </w:r>
          </w:p>
        </w:tc>
        <w:bookmarkStart w:id="17" w:name="_Hlk34579621"/>
        <w:tc>
          <w:tcPr>
            <w:tcW w:w="0" w:type="auto"/>
          </w:tcPr>
          <w:p w14:paraId="72876BB0" w14:textId="77777777" w:rsidR="0079634A" w:rsidRDefault="0079634A" w:rsidP="00F006F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w:bookmarkEnd w:id="17"/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</w:rPr>
                  <m:t>=0,12=12%</m:t>
                </m:r>
              </m:oMath>
            </m:oMathPara>
          </w:p>
        </w:tc>
        <w:tc>
          <w:tcPr>
            <w:tcW w:w="0" w:type="auto"/>
          </w:tcPr>
          <w:p w14:paraId="503B3BD8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72%</m:t>
                </m:r>
              </m:oMath>
            </m:oMathPara>
          </w:p>
        </w:tc>
      </w:tr>
      <w:tr w:rsidR="0079634A" w14:paraId="31B918C3" w14:textId="77777777" w:rsidTr="00F006F3">
        <w:tc>
          <w:tcPr>
            <w:tcW w:w="0" w:type="auto"/>
          </w:tcPr>
          <w:p w14:paraId="6DBB60D2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180;185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487E3846" w14:textId="77777777" w:rsidR="0079634A" w:rsidRDefault="0079634A" w:rsidP="00F006F3">
            <w:pPr>
              <w:jc w:val="center"/>
            </w:pPr>
            <w:r>
              <w:t>7</w:t>
            </w:r>
          </w:p>
        </w:tc>
        <w:bookmarkStart w:id="18" w:name="_Hlk34579631"/>
        <w:tc>
          <w:tcPr>
            <w:tcW w:w="0" w:type="auto"/>
          </w:tcPr>
          <w:p w14:paraId="2D41A322" w14:textId="77777777" w:rsidR="0079634A" w:rsidRDefault="0079634A" w:rsidP="00F006F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w:bookmarkEnd w:id="18"/>
                <m:r>
                  <w:rPr>
                    <w:rFonts w:ascii="Cambria Math" w:hAnsi="Cambria Math"/>
                  </w:rPr>
                  <m:t>=0,14=14%</m:t>
                </m:r>
              </m:oMath>
            </m:oMathPara>
          </w:p>
        </w:tc>
        <w:tc>
          <w:tcPr>
            <w:tcW w:w="0" w:type="auto"/>
          </w:tcPr>
          <w:p w14:paraId="4A1C10B0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86%</m:t>
                </m:r>
              </m:oMath>
            </m:oMathPara>
          </w:p>
        </w:tc>
      </w:tr>
      <w:tr w:rsidR="0079634A" w14:paraId="04FE6B87" w14:textId="77777777" w:rsidTr="00F006F3">
        <w:tc>
          <w:tcPr>
            <w:tcW w:w="0" w:type="auto"/>
          </w:tcPr>
          <w:p w14:paraId="24F7CF1A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185;190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51D0DF40" w14:textId="77777777" w:rsidR="0079634A" w:rsidRDefault="0079634A" w:rsidP="00F006F3">
            <w:pPr>
              <w:jc w:val="center"/>
            </w:pPr>
            <w:r>
              <w:t>6</w:t>
            </w:r>
          </w:p>
        </w:tc>
        <w:bookmarkStart w:id="19" w:name="_Hlk34579640"/>
        <w:tc>
          <w:tcPr>
            <w:tcW w:w="0" w:type="auto"/>
          </w:tcPr>
          <w:p w14:paraId="55118D0A" w14:textId="77777777" w:rsidR="0079634A" w:rsidRDefault="0079634A" w:rsidP="00F006F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w:bookmarkEnd w:id="19"/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</w:rPr>
                  <m:t>=0,12=12%</m:t>
                </m:r>
              </m:oMath>
            </m:oMathPara>
          </w:p>
        </w:tc>
        <w:tc>
          <w:tcPr>
            <w:tcW w:w="0" w:type="auto"/>
          </w:tcPr>
          <w:p w14:paraId="1D5C9CF7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98%</m:t>
                </m:r>
              </m:oMath>
            </m:oMathPara>
          </w:p>
        </w:tc>
      </w:tr>
      <w:tr w:rsidR="0079634A" w14:paraId="15189B8F" w14:textId="77777777" w:rsidTr="00F006F3">
        <w:tc>
          <w:tcPr>
            <w:tcW w:w="0" w:type="auto"/>
          </w:tcPr>
          <w:p w14:paraId="2F6FCB92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190;195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6EE17C59" w14:textId="77777777" w:rsidR="0079634A" w:rsidRDefault="0079634A" w:rsidP="00F006F3">
            <w:pPr>
              <w:jc w:val="center"/>
            </w:pPr>
            <w:r>
              <w:t>0</w:t>
            </w:r>
          </w:p>
        </w:tc>
        <w:bookmarkStart w:id="20" w:name="_Hlk34579651"/>
        <w:tc>
          <w:tcPr>
            <w:tcW w:w="0" w:type="auto"/>
          </w:tcPr>
          <w:p w14:paraId="5B6C5A24" w14:textId="77777777" w:rsidR="0079634A" w:rsidRDefault="0079634A" w:rsidP="00F006F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w:bookmarkEnd w:id="20"/>
                <m:r>
                  <w:rPr>
                    <w:rFonts w:ascii="Cambria Math" w:hAnsi="Cambria Math"/>
                  </w:rPr>
                  <m:t>=0%</m:t>
                </m:r>
              </m:oMath>
            </m:oMathPara>
          </w:p>
        </w:tc>
        <w:tc>
          <w:tcPr>
            <w:tcW w:w="0" w:type="auto"/>
          </w:tcPr>
          <w:p w14:paraId="66CB0200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98%</m:t>
                </m:r>
              </m:oMath>
            </m:oMathPara>
          </w:p>
        </w:tc>
      </w:tr>
      <w:tr w:rsidR="0079634A" w14:paraId="5B647839" w14:textId="77777777" w:rsidTr="00F006F3">
        <w:tc>
          <w:tcPr>
            <w:tcW w:w="0" w:type="auto"/>
          </w:tcPr>
          <w:p w14:paraId="6C148374" w14:textId="77777777" w:rsidR="0079634A" w:rsidRPr="002E5CFC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195;200</m:t>
                    </m:r>
                  </m:e>
                </m:d>
              </m:oMath>
            </m:oMathPara>
          </w:p>
          <w:p w14:paraId="6A03F66B" w14:textId="77777777" w:rsidR="0079634A" w:rsidRDefault="0079634A" w:rsidP="00F006F3"/>
        </w:tc>
        <w:tc>
          <w:tcPr>
            <w:tcW w:w="0" w:type="auto"/>
          </w:tcPr>
          <w:p w14:paraId="35115BAF" w14:textId="77777777" w:rsidR="0079634A" w:rsidRDefault="0079634A" w:rsidP="00F006F3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75F7293B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0%</m:t>
                </m:r>
              </m:oMath>
            </m:oMathPara>
          </w:p>
        </w:tc>
        <w:tc>
          <w:tcPr>
            <w:tcW w:w="0" w:type="auto"/>
          </w:tcPr>
          <w:p w14:paraId="25F5A26A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98%</m:t>
                </m:r>
              </m:oMath>
            </m:oMathPara>
          </w:p>
        </w:tc>
      </w:tr>
      <w:tr w:rsidR="0079634A" w14:paraId="147548D9" w14:textId="77777777" w:rsidTr="00F006F3">
        <w:tc>
          <w:tcPr>
            <w:tcW w:w="0" w:type="auto"/>
          </w:tcPr>
          <w:p w14:paraId="386519FE" w14:textId="77777777" w:rsidR="0079634A" w:rsidRPr="002E5CFC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200;205</m:t>
                    </m:r>
                  </m:e>
                </m:d>
              </m:oMath>
            </m:oMathPara>
          </w:p>
          <w:p w14:paraId="19A305B5" w14:textId="77777777" w:rsidR="0079634A" w:rsidRDefault="0079634A" w:rsidP="00F006F3"/>
        </w:tc>
        <w:tc>
          <w:tcPr>
            <w:tcW w:w="0" w:type="auto"/>
          </w:tcPr>
          <w:p w14:paraId="1E1EC1D4" w14:textId="77777777" w:rsidR="0079634A" w:rsidRDefault="0079634A" w:rsidP="00F006F3">
            <w:pPr>
              <w:jc w:val="center"/>
            </w:pPr>
            <w:r>
              <w:t>1</w:t>
            </w:r>
          </w:p>
        </w:tc>
        <w:bookmarkStart w:id="21" w:name="_Hlk34583828"/>
        <w:tc>
          <w:tcPr>
            <w:tcW w:w="0" w:type="auto"/>
          </w:tcPr>
          <w:p w14:paraId="1CFEAA06" w14:textId="77777777" w:rsidR="0079634A" w:rsidRDefault="0079634A" w:rsidP="00F006F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w:bookmarkEnd w:id="21"/>
                <m:r>
                  <w:rPr>
                    <w:rFonts w:ascii="Cambria Math" w:hAnsi="Cambria Math"/>
                  </w:rPr>
                  <m:t>=0,02=2%</m:t>
                </m:r>
              </m:oMath>
            </m:oMathPara>
          </w:p>
        </w:tc>
        <w:tc>
          <w:tcPr>
            <w:tcW w:w="0" w:type="auto"/>
          </w:tcPr>
          <w:p w14:paraId="70CD7102" w14:textId="77777777" w:rsidR="0079634A" w:rsidRDefault="0079634A" w:rsidP="00F006F3">
            <m:oMathPara>
              <m:oMath>
                <m:r>
                  <w:rPr>
                    <w:rFonts w:ascii="Cambria Math" w:hAnsi="Cambria Math"/>
                  </w:rPr>
                  <m:t>100%</m:t>
                </m:r>
              </m:oMath>
            </m:oMathPara>
          </w:p>
        </w:tc>
      </w:tr>
      <w:tr w:rsidR="0079634A" w:rsidRPr="002E5CFC" w14:paraId="71E912D2" w14:textId="77777777" w:rsidTr="00F006F3">
        <w:tc>
          <w:tcPr>
            <w:tcW w:w="0" w:type="auto"/>
          </w:tcPr>
          <w:p w14:paraId="72786EB1" w14:textId="77777777" w:rsidR="0079634A" w:rsidRPr="002E5CFC" w:rsidRDefault="0079634A" w:rsidP="00F006F3">
            <w:pPr>
              <w:rPr>
                <w:rFonts w:ascii="Calibri" w:eastAsia="Calibri" w:hAnsi="Calibri" w:cs="Times New Roman"/>
                <w:b/>
                <w:bCs/>
              </w:rPr>
            </w:pPr>
            <w:r w:rsidRPr="002E5CFC">
              <w:rPr>
                <w:rFonts w:ascii="Calibri" w:eastAsia="Calibri" w:hAnsi="Calibri" w:cs="Times New Roman"/>
                <w:b/>
                <w:bCs/>
              </w:rPr>
              <w:t>I alt:</w:t>
            </w:r>
          </w:p>
        </w:tc>
        <w:tc>
          <w:tcPr>
            <w:tcW w:w="0" w:type="auto"/>
          </w:tcPr>
          <w:p w14:paraId="113B6F8B" w14:textId="77777777" w:rsidR="0079634A" w:rsidRPr="002E5CFC" w:rsidRDefault="0079634A" w:rsidP="00F006F3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50</m:t>
                </m:r>
              </m:oMath>
            </m:oMathPara>
          </w:p>
        </w:tc>
        <w:tc>
          <w:tcPr>
            <w:tcW w:w="0" w:type="auto"/>
          </w:tcPr>
          <w:p w14:paraId="3032E90F" w14:textId="77777777" w:rsidR="0079634A" w:rsidRPr="002E5CFC" w:rsidRDefault="0079634A" w:rsidP="00F006F3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100%</m:t>
                </m:r>
              </m:oMath>
            </m:oMathPara>
          </w:p>
        </w:tc>
        <w:tc>
          <w:tcPr>
            <w:tcW w:w="0" w:type="auto"/>
          </w:tcPr>
          <w:p w14:paraId="2C23BBD1" w14:textId="77777777" w:rsidR="0079634A" w:rsidRPr="002E5CFC" w:rsidRDefault="0079634A" w:rsidP="00F006F3">
            <w:pPr>
              <w:rPr>
                <w:b/>
                <w:bCs/>
              </w:rPr>
            </w:pPr>
          </w:p>
        </w:tc>
      </w:tr>
    </w:tbl>
    <w:p w14:paraId="1583F096" w14:textId="77777777" w:rsidR="0079634A" w:rsidRDefault="0079634A" w:rsidP="0079634A"/>
    <w:p w14:paraId="01B16C5C" w14:textId="77777777" w:rsidR="0079634A" w:rsidRDefault="0079634A" w:rsidP="0079634A">
      <w:pPr>
        <w:pStyle w:val="Overskrift6"/>
      </w:pPr>
    </w:p>
    <w:p w14:paraId="0E96ABF0" w14:textId="77777777" w:rsidR="0079634A" w:rsidRDefault="0079634A" w:rsidP="0079634A">
      <w:pPr>
        <w:pStyle w:val="Ingenafstand"/>
      </w:pPr>
      <w:r>
        <w:t>Hvis k</w:t>
      </w:r>
      <w:r w:rsidRPr="00857E0E">
        <w:t xml:space="preserve">lammen </w:t>
      </w:r>
      <w:r>
        <w:t>vender ind mod tallet,</w:t>
      </w:r>
      <w:r w:rsidRPr="00857E0E">
        <w:t xml:space="preserve"> kalde</w:t>
      </w:r>
      <w:r>
        <w:t>s den ”lukket”. Det betyder, at tallet er med i intervallet.</w:t>
      </w:r>
    </w:p>
    <w:p w14:paraId="454ED79A" w14:textId="77777777" w:rsidR="0079634A" w:rsidRPr="00857E0E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>Hvis tallet vender væk fra klammen, kaldes den ”åben”. Det betyder, at tallet ikke er med i intervallet.</w:t>
      </w:r>
    </w:p>
    <w:p w14:paraId="7CB20F60" w14:textId="77777777" w:rsidR="0079634A" w:rsidRDefault="0079634A" w:rsidP="0079634A">
      <w:pPr>
        <w:spacing w:after="0"/>
        <w:rPr>
          <w:rFonts w:eastAsiaTheme="minorEastAsia"/>
        </w:rPr>
      </w:pPr>
      <w:r>
        <w:t xml:space="preserve">Skrivemåden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160;165</m:t>
            </m:r>
          </m:e>
        </m:d>
      </m:oMath>
      <w:r>
        <w:rPr>
          <w:rFonts w:eastAsiaTheme="minorEastAsia"/>
        </w:rPr>
        <w:t xml:space="preserve"> betyder derfor, at </w:t>
      </w:r>
      <m:oMath>
        <m:r>
          <w:rPr>
            <w:rFonts w:ascii="Cambria Math" w:eastAsiaTheme="minorEastAsia" w:hAnsi="Cambria Math"/>
          </w:rPr>
          <m:t>160</m:t>
        </m:r>
      </m:oMath>
      <w:r>
        <w:rPr>
          <w:rFonts w:eastAsiaTheme="minorEastAsia"/>
        </w:rPr>
        <w:t xml:space="preserve"> </w:t>
      </w:r>
      <w:r w:rsidRPr="002E5CFC">
        <w:rPr>
          <w:rFonts w:eastAsiaTheme="minorEastAsia"/>
          <w:i/>
          <w:iCs/>
        </w:rPr>
        <w:t>ikke</w:t>
      </w:r>
      <w:r>
        <w:rPr>
          <w:rFonts w:eastAsiaTheme="minorEastAsia"/>
        </w:rPr>
        <w:t xml:space="preserve"> er med i intervallet, mens </w:t>
      </w:r>
      <m:oMath>
        <m:r>
          <w:rPr>
            <w:rFonts w:ascii="Cambria Math" w:eastAsiaTheme="minorEastAsia" w:hAnsi="Cambria Math"/>
          </w:rPr>
          <m:t xml:space="preserve">165 </m:t>
        </m:r>
      </m:oMath>
      <w:r w:rsidRPr="002E5CFC">
        <w:rPr>
          <w:rFonts w:eastAsiaTheme="minorEastAsia"/>
          <w:i/>
          <w:iCs/>
        </w:rPr>
        <w:t>er</w:t>
      </w:r>
      <w:r>
        <w:rPr>
          <w:rFonts w:eastAsiaTheme="minorEastAsia"/>
        </w:rPr>
        <w:t xml:space="preserve"> med.</w:t>
      </w:r>
    </w:p>
    <w:p w14:paraId="5604CD4F" w14:textId="77777777" w:rsidR="0079634A" w:rsidRDefault="0079634A" w:rsidP="0079634A"/>
    <w:p w14:paraId="11453E39" w14:textId="77777777" w:rsidR="0079634A" w:rsidRDefault="0079634A" w:rsidP="0079634A"/>
    <w:p w14:paraId="2870C11D" w14:textId="77777777" w:rsidR="0079634A" w:rsidRDefault="0079634A" w:rsidP="0079634A">
      <w:pPr>
        <w:rPr>
          <w:b/>
          <w:bCs/>
          <w:u w:val="single"/>
        </w:rPr>
      </w:pPr>
    </w:p>
    <w:p w14:paraId="08AD360D" w14:textId="77777777" w:rsidR="0079634A" w:rsidRDefault="0079634A" w:rsidP="0079634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7FF5342" w14:textId="77777777" w:rsidR="0079634A" w:rsidRDefault="0079634A" w:rsidP="0079634A">
      <w:r>
        <w:rPr>
          <w:b/>
          <w:bCs/>
          <w:u w:val="single"/>
        </w:rPr>
        <w:lastRenderedPageBreak/>
        <w:t>Middelværdi for grupperede data</w:t>
      </w:r>
    </w:p>
    <w:p w14:paraId="1929F035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Middeltallet udregnes vha. </w:t>
      </w:r>
      <w:r w:rsidRPr="00BC4D1D">
        <w:rPr>
          <w:rFonts w:eastAsiaTheme="minorEastAsia"/>
          <w:i/>
          <w:iCs/>
        </w:rPr>
        <w:t>intervalmidtpunkterne</w:t>
      </w:r>
      <w:r>
        <w:rPr>
          <w:rFonts w:eastAsiaTheme="minorEastAsia"/>
        </w:rPr>
        <w:t>, idet vi antager at data er jævnt fordelt i intervallerne.</w:t>
      </w:r>
    </w:p>
    <w:p w14:paraId="78F0E403" w14:textId="77777777" w:rsidR="0079634A" w:rsidRDefault="0079634A" w:rsidP="0079634A">
      <w:pPr>
        <w:spacing w:after="0"/>
      </w:pPr>
    </w:p>
    <w:p w14:paraId="4C684139" w14:textId="77777777" w:rsidR="0079634A" w:rsidRDefault="0079634A" w:rsidP="0079634A">
      <w:pPr>
        <w:spacing w:after="0"/>
        <w:rPr>
          <w:rFonts w:eastAsiaTheme="minorEastAsia"/>
        </w:rPr>
      </w:pPr>
      <w:r>
        <w:t>Intervalmidtpunktet for intervallet</w:t>
      </w:r>
      <w:r>
        <w:rPr>
          <w:rFonts w:eastAsiaTheme="minorEastAsia"/>
        </w:rPr>
        <w:t xml:space="preserve">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160;165</m:t>
            </m: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findes på denne måde:  </w:t>
      </w:r>
      <w:bookmarkStart w:id="22" w:name="_Hlk34584662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160+165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w:bookmarkEnd w:id="22"/>
        <m:r>
          <w:rPr>
            <w:rFonts w:ascii="Cambria Math" w:eastAsiaTheme="minorEastAsia" w:hAnsi="Cambria Math"/>
          </w:rPr>
          <m:t>=162,5</m:t>
        </m:r>
      </m:oMath>
      <w:r>
        <w:rPr>
          <w:rFonts w:eastAsiaTheme="minorEastAsia"/>
        </w:rPr>
        <w:t xml:space="preserve">. </w:t>
      </w:r>
    </w:p>
    <w:p w14:paraId="569B048B" w14:textId="77777777" w:rsidR="0079634A" w:rsidRDefault="0079634A" w:rsidP="0079634A">
      <w:pPr>
        <w:spacing w:after="0"/>
        <w:rPr>
          <w:rFonts w:eastAsiaTheme="minorEastAsia"/>
        </w:rPr>
      </w:pPr>
    </w:p>
    <w:p w14:paraId="140A245C" w14:textId="77777777" w:rsidR="0079634A" w:rsidRDefault="0079634A" w:rsidP="0079634A">
      <w:pPr>
        <w:spacing w:after="0"/>
        <w:rPr>
          <w:rFonts w:eastAsiaTheme="minorEastAsia"/>
        </w:rPr>
      </w:pPr>
      <w:r>
        <w:rPr>
          <w:rFonts w:eastAsiaTheme="minorEastAsia"/>
        </w:rPr>
        <w:t>Middelværdien kan beregnes på to måder - vha. hyppigheden eller vha. frekvensen:</w:t>
      </w:r>
    </w:p>
    <w:p w14:paraId="6421AB6C" w14:textId="77777777" w:rsidR="0079634A" w:rsidRPr="00B7557B" w:rsidRDefault="0079634A" w:rsidP="0079634A">
      <w:pPr>
        <w:pStyle w:val="Listeafsnit"/>
        <w:spacing w:after="0"/>
        <w:ind w:left="0"/>
        <w:rPr>
          <w:rFonts w:eastAsiaTheme="minorEastAsia"/>
        </w:rPr>
      </w:pPr>
    </w:p>
    <w:p w14:paraId="7ABA2B71" w14:textId="77777777" w:rsidR="0079634A" w:rsidRDefault="0079634A" w:rsidP="0079634A">
      <w:pPr>
        <w:pStyle w:val="Listeafsnit"/>
        <w:ind w:left="0"/>
        <w:rPr>
          <w:rFonts w:eastAsiaTheme="minorEastAsia"/>
        </w:rPr>
      </w:pPr>
      <w:r w:rsidRPr="00F96DFC">
        <w:rPr>
          <w:rFonts w:eastAsiaTheme="minorEastAsia"/>
          <w:i/>
          <w:iCs/>
        </w:rPr>
        <w:t>Metode 1</w:t>
      </w:r>
      <w:r>
        <w:rPr>
          <w:rFonts w:eastAsiaTheme="minorEastAsia"/>
        </w:rPr>
        <w:t>: Ved hjælp af hyppighederne:</w:t>
      </w:r>
    </w:p>
    <w:p w14:paraId="53218CC1" w14:textId="77777777" w:rsidR="0079634A" w:rsidRPr="00B7557B" w:rsidRDefault="0079634A" w:rsidP="0079634A">
      <w:pPr>
        <w:pStyle w:val="Listeafsnit"/>
        <w:ind w:left="0"/>
        <w:rPr>
          <w:rFonts w:eastAsiaTheme="minorEastAsia"/>
        </w:rPr>
      </w:pPr>
    </w:p>
    <w:bookmarkStart w:id="23" w:name="_Hlk34582039"/>
    <w:p w14:paraId="4921A7F2" w14:textId="77777777" w:rsidR="0079634A" w:rsidRPr="00875DF3" w:rsidRDefault="0079634A" w:rsidP="0079634A">
      <w:pPr>
        <w:pStyle w:val="Listeafsnit"/>
        <w:spacing w:before="240" w:after="0"/>
        <w:ind w:left="0"/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162,5·4+167,5·10+172,5·16+177,5·6+182,5·7+187,5·6+192,5·0+197,5·0+202,5·1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50</m:t>
              </m:r>
            </m:den>
          </m:f>
          <w:bookmarkEnd w:id="23"/>
          <m:r>
            <w:rPr>
              <w:rFonts w:ascii="Cambria Math" w:eastAsiaTheme="minorEastAsia" w:hAnsi="Cambria Math"/>
              <w:sz w:val="20"/>
              <w:szCs w:val="20"/>
            </w:rPr>
            <m:t>=175,1</m:t>
          </m:r>
        </m:oMath>
      </m:oMathPara>
    </w:p>
    <w:p w14:paraId="2B34D4F8" w14:textId="77777777" w:rsidR="0079634A" w:rsidRDefault="0079634A" w:rsidP="0079634A">
      <w:pPr>
        <w:pStyle w:val="Listeafsnit"/>
        <w:spacing w:after="0"/>
        <w:ind w:left="360"/>
        <w:rPr>
          <w:rFonts w:eastAsiaTheme="minorEastAsia"/>
        </w:rPr>
      </w:pPr>
    </w:p>
    <w:p w14:paraId="24DAF0B5" w14:textId="77777777" w:rsidR="0079634A" w:rsidRDefault="0079634A" w:rsidP="0079634A">
      <w:pPr>
        <w:spacing w:after="0"/>
        <w:rPr>
          <w:rFonts w:eastAsiaTheme="minorEastAsia"/>
        </w:rPr>
      </w:pPr>
      <w:r w:rsidRPr="00F96DFC">
        <w:rPr>
          <w:rFonts w:eastAsiaTheme="minorEastAsia"/>
          <w:i/>
          <w:iCs/>
        </w:rPr>
        <w:t>Metode 2</w:t>
      </w:r>
      <w:r>
        <w:rPr>
          <w:rFonts w:eastAsiaTheme="minorEastAsia"/>
        </w:rPr>
        <w:t>: Ved hjælp af frekvenserne (som decimaltal):</w:t>
      </w:r>
    </w:p>
    <w:p w14:paraId="7E511595" w14:textId="77777777" w:rsidR="0079634A" w:rsidRPr="00DC0921" w:rsidRDefault="0079634A" w:rsidP="0079634A">
      <w:pPr>
        <w:spacing w:after="0"/>
        <w:rPr>
          <w:rFonts w:eastAsiaTheme="minorEastAsia"/>
          <w:sz w:val="16"/>
          <w:szCs w:val="16"/>
        </w:rPr>
      </w:pPr>
      <w:bookmarkStart w:id="24" w:name="_Hlk34585157"/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16"/>
              <w:szCs w:val="16"/>
            </w:rPr>
            <m:t>162,5·0,08+167,5·0,2+172,5·0,32+177,5·0,12+182,5·0,14+187,2·0,12+192,5·0+197,5·0+202,5·0,02</m:t>
          </m:r>
          <w:bookmarkEnd w:id="24"/>
          <m:r>
            <w:rPr>
              <w:rFonts w:ascii="Cambria Math" w:eastAsiaTheme="minorEastAsia" w:hAnsi="Cambria Math"/>
              <w:sz w:val="16"/>
              <w:szCs w:val="16"/>
            </w:rPr>
            <m:t>≈175,1</m:t>
          </m:r>
        </m:oMath>
      </m:oMathPara>
    </w:p>
    <w:p w14:paraId="07B6006D" w14:textId="77777777" w:rsidR="0079634A" w:rsidRDefault="0079634A" w:rsidP="0079634A">
      <w:pPr>
        <w:spacing w:after="0"/>
        <w:rPr>
          <w:rFonts w:eastAsiaTheme="minorEastAsia"/>
        </w:rPr>
      </w:pPr>
    </w:p>
    <w:p w14:paraId="6C3AFC7C" w14:textId="77777777" w:rsidR="0079634A" w:rsidRDefault="0079634A" w:rsidP="0079634A">
      <w:pPr>
        <w:pStyle w:val="Overskrift3"/>
        <w:rPr>
          <w:rFonts w:eastAsiaTheme="minorEastAsia"/>
        </w:rPr>
      </w:pPr>
    </w:p>
    <w:p w14:paraId="2DF5054D" w14:textId="77777777" w:rsidR="0079634A" w:rsidRDefault="0079634A" w:rsidP="0079634A">
      <w:pPr>
        <w:rPr>
          <w:rFonts w:eastAsiaTheme="minorEastAsia"/>
        </w:rPr>
      </w:pPr>
      <w:r>
        <w:rPr>
          <w:rFonts w:eastAsiaTheme="minorEastAsia"/>
        </w:rPr>
        <w:t>Beregn middeltallet for flg. grupperede data: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95"/>
        <w:gridCol w:w="1072"/>
      </w:tblGrid>
      <w:tr w:rsidR="0079634A" w14:paraId="340CDA00" w14:textId="77777777" w:rsidTr="00F006F3">
        <w:tc>
          <w:tcPr>
            <w:tcW w:w="0" w:type="auto"/>
          </w:tcPr>
          <w:p w14:paraId="2BD93650" w14:textId="77777777" w:rsidR="0079634A" w:rsidRDefault="0079634A" w:rsidP="00F006F3">
            <w:r>
              <w:t>Observationsinterval</w:t>
            </w:r>
          </w:p>
        </w:tc>
        <w:tc>
          <w:tcPr>
            <w:tcW w:w="0" w:type="auto"/>
          </w:tcPr>
          <w:p w14:paraId="47055EA6" w14:textId="77777777" w:rsidR="0079634A" w:rsidRDefault="0079634A" w:rsidP="00F006F3">
            <w:r>
              <w:t>Frekvens</w:t>
            </w:r>
          </w:p>
        </w:tc>
      </w:tr>
      <w:tr w:rsidR="0079634A" w14:paraId="5597D3C5" w14:textId="77777777" w:rsidTr="00F006F3">
        <w:tc>
          <w:tcPr>
            <w:tcW w:w="0" w:type="auto"/>
          </w:tcPr>
          <w:p w14:paraId="6C1407B7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5778EFE4" w14:textId="77777777" w:rsidR="0079634A" w:rsidRDefault="0079634A" w:rsidP="00F006F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12%</m:t>
                </m:r>
              </m:oMath>
            </m:oMathPara>
          </w:p>
        </w:tc>
      </w:tr>
      <w:tr w:rsidR="0079634A" w14:paraId="3D12BF66" w14:textId="77777777" w:rsidTr="00F006F3">
        <w:tc>
          <w:tcPr>
            <w:tcW w:w="0" w:type="auto"/>
          </w:tcPr>
          <w:p w14:paraId="3CA41385" w14:textId="77777777" w:rsidR="0079634A" w:rsidRPr="008B5C9E" w:rsidRDefault="0079634A" w:rsidP="00F006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2;3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7D8D9ED1" w14:textId="77777777" w:rsidR="0079634A" w:rsidRDefault="0079634A" w:rsidP="00F006F3">
            <w:pPr>
              <w:jc w:val="center"/>
            </w:pPr>
            <w:r>
              <w:t>18%</w:t>
            </w:r>
          </w:p>
        </w:tc>
      </w:tr>
      <w:tr w:rsidR="0079634A" w14:paraId="3681FFEA" w14:textId="77777777" w:rsidTr="00F006F3">
        <w:tc>
          <w:tcPr>
            <w:tcW w:w="0" w:type="auto"/>
          </w:tcPr>
          <w:p w14:paraId="13456F1E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3;4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69C49B2D" w14:textId="77777777" w:rsidR="0079634A" w:rsidRDefault="0079634A" w:rsidP="00F006F3">
            <w:pPr>
              <w:jc w:val="center"/>
            </w:pPr>
            <w:r>
              <w:t>35%</w:t>
            </w:r>
          </w:p>
        </w:tc>
      </w:tr>
      <w:tr w:rsidR="0079634A" w14:paraId="7043A273" w14:textId="77777777" w:rsidTr="00F006F3">
        <w:tc>
          <w:tcPr>
            <w:tcW w:w="0" w:type="auto"/>
          </w:tcPr>
          <w:p w14:paraId="3443836F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4;5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1D16017C" w14:textId="77777777" w:rsidR="0079634A" w:rsidRDefault="0079634A" w:rsidP="00F006F3">
            <w:pPr>
              <w:jc w:val="center"/>
            </w:pPr>
            <w:r>
              <w:t>25%</w:t>
            </w:r>
          </w:p>
        </w:tc>
      </w:tr>
      <w:tr w:rsidR="0079634A" w14:paraId="0F0C2EDA" w14:textId="77777777" w:rsidTr="00F006F3">
        <w:tc>
          <w:tcPr>
            <w:tcW w:w="0" w:type="auto"/>
          </w:tcPr>
          <w:p w14:paraId="6DBBFCA7" w14:textId="77777777" w:rsidR="0079634A" w:rsidRDefault="0079634A" w:rsidP="00F006F3"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5;6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14:paraId="5FD87BA4" w14:textId="77777777" w:rsidR="0079634A" w:rsidRDefault="0079634A" w:rsidP="00F006F3">
            <w:pPr>
              <w:jc w:val="center"/>
            </w:pPr>
            <w:r>
              <w:t>10%</w:t>
            </w:r>
          </w:p>
        </w:tc>
      </w:tr>
    </w:tbl>
    <w:p w14:paraId="616E26BA" w14:textId="77777777" w:rsidR="0079634A" w:rsidRDefault="0079634A" w:rsidP="0079634A">
      <w:pPr>
        <w:spacing w:after="0"/>
        <w:rPr>
          <w:rFonts w:eastAsiaTheme="minorEastAsia"/>
          <w:b/>
          <w:bCs/>
          <w:u w:val="single"/>
        </w:rPr>
      </w:pPr>
    </w:p>
    <w:p w14:paraId="59D09CFD" w14:textId="77777777" w:rsidR="0079634A" w:rsidRDefault="0079634A" w:rsidP="0079634A">
      <w:pPr>
        <w:spacing w:after="0"/>
        <w:rPr>
          <w:rFonts w:eastAsiaTheme="minorEastAsia"/>
          <w:b/>
          <w:bCs/>
          <w:u w:val="single"/>
        </w:rPr>
      </w:pPr>
    </w:p>
    <w:p w14:paraId="33237392" w14:textId="77777777" w:rsidR="0079634A" w:rsidRDefault="0079634A" w:rsidP="0079634A">
      <w:pPr>
        <w:spacing w:after="0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 xml:space="preserve">Histogram - figur over frekvenserne </w:t>
      </w:r>
    </w:p>
    <w:p w14:paraId="721583D3" w14:textId="77777777" w:rsidR="0079634A" w:rsidRPr="007219F6" w:rsidRDefault="0079634A" w:rsidP="0079634A">
      <w:r>
        <w:t xml:space="preserve">Histogrammet viser frekvensen for et grupperet observationssæt. Hvert tern viser en bestemt procentdel. På histogrammet herunder er hvert tern </w:t>
      </w:r>
      <m:oMath>
        <m:r>
          <w:rPr>
            <w:rFonts w:ascii="Cambria Math" w:hAnsi="Cambria Math"/>
          </w:rPr>
          <m:t>4</m:t>
        </m:r>
      </m:oMath>
      <w:r>
        <w:rPr>
          <w:rFonts w:eastAsiaTheme="minorEastAsia"/>
        </w:rPr>
        <w:t>%. Intervallerne er lige lange.</w:t>
      </w:r>
    </w:p>
    <w:p w14:paraId="3E6F230C" w14:textId="77777777" w:rsidR="0079634A" w:rsidRDefault="0079634A" w:rsidP="0079634A">
      <w:pPr>
        <w:jc w:val="center"/>
      </w:pPr>
      <w:r>
        <w:rPr>
          <w:noProof/>
        </w:rPr>
        <w:lastRenderedPageBreak/>
        <w:drawing>
          <wp:inline distT="0" distB="0" distL="0" distR="0" wp14:anchorId="32CFA1AC" wp14:editId="627A1BF9">
            <wp:extent cx="4781550" cy="3124200"/>
            <wp:effectExtent l="0" t="0" r="0" b="0"/>
            <wp:docPr id="104180621" name="Diagram 1041806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A064B1" w14:textId="77777777" w:rsidR="0079634A" w:rsidRPr="003127C7" w:rsidRDefault="0079634A" w:rsidP="0079634A">
      <w:pPr>
        <w:rPr>
          <w:rFonts w:eastAsiaTheme="minorEastAsia"/>
        </w:rPr>
      </w:pPr>
      <w:r>
        <w:rPr>
          <w:rFonts w:eastAsiaTheme="minorEastAsia"/>
        </w:rPr>
        <w:t>På histogrammet kan vi f.eks. aflæse, at</w:t>
      </w:r>
    </w:p>
    <w:p w14:paraId="4C43B244" w14:textId="77777777" w:rsidR="0079634A" w:rsidRPr="003A6B85" w:rsidRDefault="0079634A" w:rsidP="0079634A">
      <w:pPr>
        <w:pStyle w:val="Listeafsnit"/>
        <w:numPr>
          <w:ilvl w:val="0"/>
          <w:numId w:val="1"/>
        </w:numPr>
        <w:spacing w:line="256" w:lineRule="auto"/>
        <w:rPr>
          <w:rFonts w:eastAsiaTheme="minorEastAsia"/>
        </w:rPr>
      </w:pPr>
      <w:r>
        <w:t xml:space="preserve">Rektanglet over intervallet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160;165</m:t>
            </m:r>
          </m:e>
        </m:d>
      </m:oMath>
      <w:r w:rsidRPr="003A6B85">
        <w:rPr>
          <w:rFonts w:eastAsiaTheme="minorEastAsia"/>
        </w:rPr>
        <w:t xml:space="preserve"> har højden </w:t>
      </w:r>
      <m:oMath>
        <m:r>
          <w:rPr>
            <w:rFonts w:ascii="Cambria Math" w:eastAsiaTheme="minorEastAsia" w:hAnsi="Cambria Math"/>
          </w:rPr>
          <m:t>8%</m:t>
        </m:r>
      </m:oMath>
      <w:r w:rsidRPr="003A6B85">
        <w:rPr>
          <w:rFonts w:eastAsiaTheme="minorEastAsia"/>
        </w:rPr>
        <w:t xml:space="preserve">. Det viser, at </w:t>
      </w:r>
      <m:oMath>
        <m:r>
          <w:rPr>
            <w:rFonts w:ascii="Cambria Math" w:eastAsiaTheme="minorEastAsia" w:hAnsi="Cambria Math"/>
          </w:rPr>
          <m:t>8%</m:t>
        </m:r>
      </m:oMath>
      <w:r w:rsidRPr="003A6B85">
        <w:rPr>
          <w:rFonts w:eastAsiaTheme="minorEastAsia"/>
        </w:rPr>
        <w:t xml:space="preserve"> af HF-</w:t>
      </w:r>
      <w:r>
        <w:rPr>
          <w:rFonts w:eastAsiaTheme="minorEastAsia"/>
        </w:rPr>
        <w:t>kursisterne</w:t>
      </w:r>
      <w:r w:rsidRPr="003A6B85">
        <w:rPr>
          <w:rFonts w:eastAsiaTheme="minorEastAsia"/>
        </w:rPr>
        <w:t xml:space="preserve"> er mellem </w:t>
      </w:r>
      <m:oMath>
        <m:r>
          <w:rPr>
            <w:rFonts w:ascii="Cambria Math" w:eastAsiaTheme="minorEastAsia" w:hAnsi="Cambria Math"/>
          </w:rPr>
          <m:t>160</m:t>
        </m:r>
      </m:oMath>
      <w:r w:rsidRPr="003A6B85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165</m:t>
        </m:r>
      </m:oMath>
      <w:r w:rsidRPr="003A6B85">
        <w:rPr>
          <w:rFonts w:eastAsiaTheme="minorEastAsia"/>
        </w:rPr>
        <w:t xml:space="preserve"> cm høje.</w:t>
      </w:r>
    </w:p>
    <w:p w14:paraId="5C1ABDFB" w14:textId="77777777" w:rsidR="0079634A" w:rsidRPr="003A6B85" w:rsidRDefault="0079634A" w:rsidP="0079634A">
      <w:pPr>
        <w:pStyle w:val="Listeafsnit"/>
        <w:numPr>
          <w:ilvl w:val="0"/>
          <w:numId w:val="1"/>
        </w:numPr>
        <w:spacing w:line="256" w:lineRule="auto"/>
        <w:rPr>
          <w:rFonts w:eastAsiaTheme="minorEastAsia"/>
        </w:rPr>
      </w:pPr>
      <w:r w:rsidRPr="003A6B85">
        <w:rPr>
          <w:rFonts w:eastAsiaTheme="minorEastAsia"/>
        </w:rPr>
        <w:t xml:space="preserve">Rektanglet over intervallet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170;175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Pr="003A6B85">
        <w:rPr>
          <w:rFonts w:eastAsiaTheme="minorEastAsia"/>
        </w:rPr>
        <w:t xml:space="preserve">har højden </w:t>
      </w:r>
      <m:oMath>
        <m:r>
          <w:rPr>
            <w:rFonts w:ascii="Cambria Math" w:eastAsiaTheme="minorEastAsia" w:hAnsi="Cambria Math"/>
          </w:rPr>
          <m:t>32%</m:t>
        </m:r>
      </m:oMath>
      <w:r w:rsidRPr="003A6B85">
        <w:rPr>
          <w:rFonts w:eastAsiaTheme="minorEastAsia"/>
        </w:rPr>
        <w:t xml:space="preserve">. Dvs. </w:t>
      </w:r>
      <m:oMath>
        <m:r>
          <w:rPr>
            <w:rFonts w:ascii="Cambria Math" w:eastAsiaTheme="minorEastAsia" w:hAnsi="Cambria Math"/>
          </w:rPr>
          <m:t>32%</m:t>
        </m:r>
      </m:oMath>
      <w:r w:rsidRPr="003A6B85">
        <w:rPr>
          <w:rFonts w:eastAsiaTheme="minorEastAsia"/>
        </w:rPr>
        <w:t xml:space="preserve"> af HF-</w:t>
      </w:r>
      <w:r>
        <w:rPr>
          <w:rFonts w:eastAsiaTheme="minorEastAsia"/>
        </w:rPr>
        <w:t>kursisterne</w:t>
      </w:r>
      <w:r w:rsidRPr="003A6B85">
        <w:rPr>
          <w:rFonts w:eastAsiaTheme="minorEastAsia"/>
        </w:rPr>
        <w:t xml:space="preserve"> er mellem </w:t>
      </w:r>
      <m:oMath>
        <m:r>
          <w:rPr>
            <w:rFonts w:ascii="Cambria Math" w:eastAsiaTheme="minorEastAsia" w:hAnsi="Cambria Math"/>
          </w:rPr>
          <m:t>170</m:t>
        </m:r>
      </m:oMath>
      <w:r w:rsidRPr="003A6B85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175</m:t>
        </m:r>
      </m:oMath>
      <w:r w:rsidRPr="003A6B85">
        <w:rPr>
          <w:rFonts w:eastAsiaTheme="minorEastAsia"/>
        </w:rPr>
        <w:t xml:space="preserve"> cm høje.</w:t>
      </w:r>
    </w:p>
    <w:p w14:paraId="08F739E0" w14:textId="77777777" w:rsidR="0079634A" w:rsidRDefault="0079634A" w:rsidP="0079634A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0F740B3D" w14:textId="77777777" w:rsidR="0079634A" w:rsidRPr="00B43719" w:rsidRDefault="0079634A" w:rsidP="0079634A">
      <w:pPr>
        <w:rPr>
          <w:rFonts w:eastAsiaTheme="minorEastAsia"/>
        </w:rPr>
      </w:pPr>
      <w:r w:rsidRPr="00B43719">
        <w:rPr>
          <w:rFonts w:eastAsiaTheme="minorEastAsia"/>
          <w:b/>
          <w:bCs/>
        </w:rPr>
        <w:t>OBS</w:t>
      </w:r>
      <w:r>
        <w:rPr>
          <w:rFonts w:eastAsiaTheme="minorEastAsia"/>
        </w:rPr>
        <w:t xml:space="preserve">: Den vandrette akse er en almindelig talakse </w:t>
      </w:r>
    </w:p>
    <w:p w14:paraId="71DFD3DC" w14:textId="77777777" w:rsidR="0079634A" w:rsidRDefault="0079634A" w:rsidP="0079634A">
      <w:pPr>
        <w:jc w:val="center"/>
      </w:pPr>
      <w:r>
        <w:rPr>
          <w:noProof/>
        </w:rPr>
        <w:drawing>
          <wp:inline distT="0" distB="0" distL="0" distR="0" wp14:anchorId="01900D28" wp14:editId="1F78797A">
            <wp:extent cx="4495800" cy="926402"/>
            <wp:effectExtent l="0" t="0" r="0" b="7620"/>
            <wp:docPr id="104180622" name="Billede 104180622" descr="Et billede, der indeholder tekst, linje/række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622" name="Billede 104180622" descr="Et billede, der indeholder tekst, linje/række, skærmbillede, Font/skrifttyp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5209" cy="9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8E8E1" w14:textId="77777777" w:rsidR="0079634A" w:rsidRPr="00102D26" w:rsidRDefault="0079634A" w:rsidP="0079634A">
      <w:pPr>
        <w:spacing w:after="0"/>
      </w:pPr>
    </w:p>
    <w:p w14:paraId="5A1695E5" w14:textId="77777777" w:rsidR="008458A4" w:rsidRDefault="008458A4"/>
    <w:sectPr w:rsidR="008458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28D"/>
    <w:multiLevelType w:val="hybridMultilevel"/>
    <w:tmpl w:val="855A632E"/>
    <w:lvl w:ilvl="0" w:tplc="6736F0C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0232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4A"/>
    <w:rsid w:val="005B5706"/>
    <w:rsid w:val="0079634A"/>
    <w:rsid w:val="008458A4"/>
    <w:rsid w:val="00C429DB"/>
    <w:rsid w:val="00C7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4D77"/>
  <w15:chartTrackingRefBased/>
  <w15:docId w15:val="{0E1187E6-B289-4665-9DF7-B50A37DA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634A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aliases w:val="1 Kapitel"/>
    <w:basedOn w:val="Normal"/>
    <w:next w:val="Normal"/>
    <w:link w:val="Overskrift1Tegn"/>
    <w:uiPriority w:val="9"/>
    <w:qFormat/>
    <w:rsid w:val="0079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aliases w:val="2 Afsnit"/>
    <w:basedOn w:val="Normal"/>
    <w:next w:val="Normal"/>
    <w:link w:val="Overskrift2Tegn"/>
    <w:uiPriority w:val="9"/>
    <w:unhideWhenUsed/>
    <w:qFormat/>
    <w:rsid w:val="0079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aliases w:val="3 Øvelse"/>
    <w:basedOn w:val="Normal"/>
    <w:next w:val="Normal"/>
    <w:link w:val="Overskrift3Tegn"/>
    <w:uiPriority w:val="9"/>
    <w:unhideWhenUsed/>
    <w:qFormat/>
    <w:rsid w:val="00796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aliases w:val="4 Eksempel"/>
    <w:basedOn w:val="Normal"/>
    <w:next w:val="Normal"/>
    <w:link w:val="Overskrift4Tegn"/>
    <w:uiPriority w:val="9"/>
    <w:unhideWhenUsed/>
    <w:qFormat/>
    <w:rsid w:val="0079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aliases w:val="5 Opgave"/>
    <w:basedOn w:val="Normal"/>
    <w:next w:val="Normal"/>
    <w:link w:val="Overskrift5Tegn"/>
    <w:uiPriority w:val="9"/>
    <w:unhideWhenUsed/>
    <w:qFormat/>
    <w:rsid w:val="00796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aliases w:val="6 Bemærk"/>
    <w:basedOn w:val="Normal"/>
    <w:next w:val="Normal"/>
    <w:link w:val="Overskrift6Tegn"/>
    <w:uiPriority w:val="9"/>
    <w:unhideWhenUsed/>
    <w:qFormat/>
    <w:rsid w:val="0079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aliases w:val="7 Bevis"/>
    <w:basedOn w:val="Normal"/>
    <w:next w:val="Normal"/>
    <w:link w:val="Overskrift7Tegn"/>
    <w:uiPriority w:val="9"/>
    <w:unhideWhenUsed/>
    <w:qFormat/>
    <w:rsid w:val="0079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1 Kapitel Tegn"/>
    <w:basedOn w:val="Standardskrifttypeiafsnit"/>
    <w:link w:val="Overskrift1"/>
    <w:uiPriority w:val="9"/>
    <w:rsid w:val="00796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6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6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63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63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63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63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63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63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63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63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63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6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63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634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9634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link w:val="IngenafstandTegn"/>
    <w:uiPriority w:val="1"/>
    <w:qFormat/>
    <w:rsid w:val="0079634A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79634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tatisti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indediagram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ksplot1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Statisti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Prikdiagram</a:t>
            </a:r>
          </a:p>
        </c:rich>
      </c:tx>
      <c:overlay val="1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5"/>
            <c:spPr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marker>
          <c:xVal>
            <c:numRef>
              <c:f>[Statistik1]Data!$J$5:$J$29</c:f>
              <c:numCache>
                <c:formatCode>General</c:formatCode>
                <c:ptCount val="2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7</c:v>
                </c:pt>
                <c:pt idx="8">
                  <c:v>7</c:v>
                </c:pt>
                <c:pt idx="9">
                  <c:v>8</c:v>
                </c:pt>
                <c:pt idx="10">
                  <c:v>8</c:v>
                </c:pt>
                <c:pt idx="11">
                  <c:v>8</c:v>
                </c:pt>
                <c:pt idx="12">
                  <c:v>8</c:v>
                </c:pt>
                <c:pt idx="13">
                  <c:v>8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10</c:v>
                </c:pt>
                <c:pt idx="18">
                  <c:v>10</c:v>
                </c:pt>
                <c:pt idx="19">
                  <c:v>11</c:v>
                </c:pt>
                <c:pt idx="20">
                  <c:v>11</c:v>
                </c:pt>
                <c:pt idx="21">
                  <c:v>14</c:v>
                </c:pt>
                <c:pt idx="22">
                  <c:v>16</c:v>
                </c:pt>
                <c:pt idx="23">
                  <c:v>16</c:v>
                </c:pt>
                <c:pt idx="24">
                  <c:v>19</c:v>
                </c:pt>
              </c:numCache>
            </c:numRef>
          </c:xVal>
          <c:yVal>
            <c:numRef>
              <c:f>[Statistik1]Data!$K$5:$K$29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  <c:pt idx="13">
                  <c:v>5</c:v>
                </c:pt>
                <c:pt idx="14">
                  <c:v>1</c:v>
                </c:pt>
                <c:pt idx="15">
                  <c:v>2</c:v>
                </c:pt>
                <c:pt idx="16">
                  <c:v>3</c:v>
                </c:pt>
                <c:pt idx="17">
                  <c:v>1</c:v>
                </c:pt>
                <c:pt idx="18">
                  <c:v>2</c:v>
                </c:pt>
                <c:pt idx="19">
                  <c:v>1</c:v>
                </c:pt>
                <c:pt idx="20">
                  <c:v>2</c:v>
                </c:pt>
                <c:pt idx="21">
                  <c:v>1</c:v>
                </c:pt>
                <c:pt idx="22">
                  <c:v>1</c:v>
                </c:pt>
                <c:pt idx="23">
                  <c:v>2</c:v>
                </c:pt>
                <c:pt idx="24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47C-4AFA-85F7-C2D9B3D37C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4298120"/>
        <c:axId val="494306352"/>
      </c:scatterChart>
      <c:valAx>
        <c:axId val="494298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94306352"/>
        <c:crosses val="autoZero"/>
        <c:crossBetween val="midCat"/>
      </c:valAx>
      <c:valAx>
        <c:axId val="494306352"/>
        <c:scaling>
          <c:orientation val="minMax"/>
          <c:max val="12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49429812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</c:spPr>
          <c:invertIfNegative val="0"/>
          <c:cat>
            <c:numRef>
              <c:f>[Pindediagram1]Data!$A$2:$A$11</c:f>
              <c:numCache>
                <c:formatCode>General</c:formatCode>
                <c:ptCount val="10"/>
                <c:pt idx="0">
                  <c:v>4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14</c:v>
                </c:pt>
                <c:pt idx="8">
                  <c:v>16</c:v>
                </c:pt>
                <c:pt idx="9">
                  <c:v>19</c:v>
                </c:pt>
              </c:numCache>
            </c:numRef>
          </c:cat>
          <c:val>
            <c:numRef>
              <c:f>[Pindediagram1]Data!$B$2:$B$11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5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14-4AE4-A915-BB6406C3CB0E}"/>
            </c:ext>
          </c:extLst>
        </c:ser>
        <c:ser>
          <c:idx val="1"/>
          <c:order val="1"/>
          <c:tx>
            <c:v>Serie2</c:v>
          </c:tx>
          <c:invertIfNegative val="0"/>
          <c:cat>
            <c:numRef>
              <c:f>[Pindediagram1]Data!$A$2:$A$11</c:f>
              <c:numCache>
                <c:formatCode>General</c:formatCode>
                <c:ptCount val="10"/>
                <c:pt idx="0">
                  <c:v>4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14</c:v>
                </c:pt>
                <c:pt idx="8">
                  <c:v>16</c:v>
                </c:pt>
                <c:pt idx="9">
                  <c:v>19</c:v>
                </c:pt>
              </c:numCache>
            </c:numRef>
          </c:cat>
          <c:val>
            <c:numRef>
              <c:f>[Pindediagram1]Data!$C$2:$C$11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1-C214-4AE4-A915-BB6406C3CB0E}"/>
            </c:ext>
          </c:extLst>
        </c:ser>
        <c:ser>
          <c:idx val="2"/>
          <c:order val="2"/>
          <c:tx>
            <c:v>Serie3</c:v>
          </c:tx>
          <c:invertIfNegative val="0"/>
          <c:cat>
            <c:numRef>
              <c:f>[Pindediagram1]Data!$A$2:$A$11</c:f>
              <c:numCache>
                <c:formatCode>General</c:formatCode>
                <c:ptCount val="10"/>
                <c:pt idx="0">
                  <c:v>4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14</c:v>
                </c:pt>
                <c:pt idx="8">
                  <c:v>16</c:v>
                </c:pt>
                <c:pt idx="9">
                  <c:v>19</c:v>
                </c:pt>
              </c:numCache>
            </c:numRef>
          </c:cat>
          <c:val>
            <c:numRef>
              <c:f>[Pindediagram1]Data!$D$2:$D$11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2-C214-4AE4-A915-BB6406C3CB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axId val="77720576"/>
        <c:axId val="83371136"/>
      </c:barChart>
      <c:catAx>
        <c:axId val="77720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Observationer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371136"/>
        <c:crosses val="autoZero"/>
        <c:auto val="1"/>
        <c:lblAlgn val="ctr"/>
        <c:lblOffset val="100"/>
        <c:noMultiLvlLbl val="0"/>
      </c:catAx>
      <c:valAx>
        <c:axId val="83371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720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[Boksplot1]Data!$B$2</c:f>
              <c:strCache>
                <c:ptCount val="1"/>
                <c:pt idx="0">
                  <c:v>Plot 1</c:v>
                </c:pt>
              </c:strCache>
            </c:strRef>
          </c:tx>
          <c:marker>
            <c:symbol val="none"/>
          </c:marker>
          <c:xVal>
            <c:numRef>
              <c:f>[Boksplot1]Data!$M$3:$M$19</c:f>
              <c:numCache>
                <c:formatCode>General</c:formatCode>
                <c:ptCount val="1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6</c:v>
                </c:pt>
                <c:pt idx="4">
                  <c:v>6</c:v>
                </c:pt>
                <c:pt idx="5">
                  <c:v>8</c:v>
                </c:pt>
                <c:pt idx="6">
                  <c:v>8</c:v>
                </c:pt>
                <c:pt idx="7">
                  <c:v>6</c:v>
                </c:pt>
                <c:pt idx="8">
                  <c:v>6</c:v>
                </c:pt>
                <c:pt idx="9">
                  <c:v>10.5</c:v>
                </c:pt>
                <c:pt idx="10">
                  <c:v>10.5</c:v>
                </c:pt>
                <c:pt idx="11">
                  <c:v>8</c:v>
                </c:pt>
                <c:pt idx="12">
                  <c:v>10.5</c:v>
                </c:pt>
                <c:pt idx="13">
                  <c:v>10.5</c:v>
                </c:pt>
                <c:pt idx="14">
                  <c:v>19</c:v>
                </c:pt>
                <c:pt idx="15">
                  <c:v>19</c:v>
                </c:pt>
                <c:pt idx="16">
                  <c:v>19</c:v>
                </c:pt>
              </c:numCache>
            </c:numRef>
          </c:xVal>
          <c:yVal>
            <c:numRef>
              <c:f>[Boksplot1]Data!$N$3:$N$19</c:f>
              <c:numCache>
                <c:formatCode>General</c:formatCode>
                <c:ptCount val="17"/>
                <c:pt idx="0">
                  <c:v>0.4</c:v>
                </c:pt>
                <c:pt idx="1">
                  <c:v>0.6</c:v>
                </c:pt>
                <c:pt idx="2">
                  <c:v>0.5</c:v>
                </c:pt>
                <c:pt idx="3">
                  <c:v>0.5</c:v>
                </c:pt>
                <c:pt idx="4">
                  <c:v>0.3</c:v>
                </c:pt>
                <c:pt idx="5">
                  <c:v>0.3</c:v>
                </c:pt>
                <c:pt idx="6">
                  <c:v>0.7</c:v>
                </c:pt>
                <c:pt idx="7">
                  <c:v>0.7</c:v>
                </c:pt>
                <c:pt idx="8">
                  <c:v>0.3</c:v>
                </c:pt>
                <c:pt idx="9">
                  <c:v>0.3</c:v>
                </c:pt>
                <c:pt idx="10">
                  <c:v>0.7</c:v>
                </c:pt>
                <c:pt idx="11">
                  <c:v>0.7</c:v>
                </c:pt>
                <c:pt idx="12">
                  <c:v>0.7</c:v>
                </c:pt>
                <c:pt idx="13">
                  <c:v>0.5</c:v>
                </c:pt>
                <c:pt idx="14">
                  <c:v>0.5</c:v>
                </c:pt>
                <c:pt idx="15">
                  <c:v>0.4</c:v>
                </c:pt>
                <c:pt idx="16">
                  <c:v>0.6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B30-4321-9EE6-3910D102DCBE}"/>
            </c:ext>
          </c:extLst>
        </c:ser>
        <c:ser>
          <c:idx val="1"/>
          <c:order val="1"/>
          <c:tx>
            <c:strRef>
              <c:f>[Boksplot1]Data!$C$2</c:f>
              <c:strCache>
                <c:ptCount val="1"/>
                <c:pt idx="0">
                  <c:v>Plot 2</c:v>
                </c:pt>
              </c:strCache>
            </c:strRef>
          </c:tx>
          <c:marker>
            <c:symbol val="none"/>
          </c:marker>
          <c:xVal>
            <c:numRef>
              <c:f>[Boksplot1]Data!$O$3:$O$19</c:f>
              <c:numCache>
                <c:formatCode>General</c:formatCode>
                <c:ptCount val="1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7.5</c:v>
                </c:pt>
                <c:pt idx="4">
                  <c:v>7.5</c:v>
                </c:pt>
                <c:pt idx="5">
                  <c:v>11</c:v>
                </c:pt>
                <c:pt idx="6">
                  <c:v>11</c:v>
                </c:pt>
                <c:pt idx="7">
                  <c:v>7.5</c:v>
                </c:pt>
                <c:pt idx="8">
                  <c:v>7.5</c:v>
                </c:pt>
                <c:pt idx="9">
                  <c:v>12</c:v>
                </c:pt>
                <c:pt idx="10">
                  <c:v>12</c:v>
                </c:pt>
                <c:pt idx="11">
                  <c:v>11</c:v>
                </c:pt>
                <c:pt idx="12">
                  <c:v>12</c:v>
                </c:pt>
                <c:pt idx="13">
                  <c:v>12</c:v>
                </c:pt>
                <c:pt idx="14">
                  <c:v>25</c:v>
                </c:pt>
                <c:pt idx="15">
                  <c:v>25</c:v>
                </c:pt>
                <c:pt idx="16">
                  <c:v>25</c:v>
                </c:pt>
              </c:numCache>
            </c:numRef>
          </c:xVal>
          <c:yVal>
            <c:numRef>
              <c:f>[Boksplot1]Data!$P$3:$P$19</c:f>
              <c:numCache>
                <c:formatCode>General</c:formatCode>
                <c:ptCount val="17"/>
                <c:pt idx="0">
                  <c:v>1.4</c:v>
                </c:pt>
                <c:pt idx="1">
                  <c:v>1.6</c:v>
                </c:pt>
                <c:pt idx="2">
                  <c:v>1.5</c:v>
                </c:pt>
                <c:pt idx="3">
                  <c:v>1.5</c:v>
                </c:pt>
                <c:pt idx="4">
                  <c:v>1.3</c:v>
                </c:pt>
                <c:pt idx="5">
                  <c:v>1.3</c:v>
                </c:pt>
                <c:pt idx="6">
                  <c:v>1.7</c:v>
                </c:pt>
                <c:pt idx="7">
                  <c:v>1.7</c:v>
                </c:pt>
                <c:pt idx="8">
                  <c:v>1.3</c:v>
                </c:pt>
                <c:pt idx="9">
                  <c:v>1.3</c:v>
                </c:pt>
                <c:pt idx="10">
                  <c:v>1.7</c:v>
                </c:pt>
                <c:pt idx="11">
                  <c:v>1.7</c:v>
                </c:pt>
                <c:pt idx="12">
                  <c:v>1.7</c:v>
                </c:pt>
                <c:pt idx="13">
                  <c:v>1.5</c:v>
                </c:pt>
                <c:pt idx="14">
                  <c:v>1.5</c:v>
                </c:pt>
                <c:pt idx="15">
                  <c:v>1.4</c:v>
                </c:pt>
                <c:pt idx="16">
                  <c:v>1.6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B30-4321-9EE6-3910D102DCBE}"/>
            </c:ext>
          </c:extLst>
        </c:ser>
        <c:ser>
          <c:idx val="2"/>
          <c:order val="2"/>
          <c:tx>
            <c:strRef>
              <c:f>[Boksplot1]Data!$D$2</c:f>
              <c:strCache>
                <c:ptCount val="1"/>
                <c:pt idx="0">
                  <c:v>Plot 3</c:v>
                </c:pt>
              </c:strCache>
            </c:strRef>
          </c:tx>
          <c:marker>
            <c:symbol val="none"/>
          </c:marker>
          <c:xVal>
            <c:numRef>
              <c:f>[Boksplot1]Data!$Q$3:$Q$19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xVal>
          <c:yVal>
            <c:numRef>
              <c:f>[Boksplot1]Data!$R$3:$R$19</c:f>
              <c:numCache>
                <c:formatCode>General</c:formatCode>
                <c:ptCount val="17"/>
                <c:pt idx="0">
                  <c:v>2.4</c:v>
                </c:pt>
                <c:pt idx="1">
                  <c:v>2.6</c:v>
                </c:pt>
                <c:pt idx="2">
                  <c:v>2.5</c:v>
                </c:pt>
                <c:pt idx="3">
                  <c:v>2.5</c:v>
                </c:pt>
                <c:pt idx="4">
                  <c:v>2.2999999999999998</c:v>
                </c:pt>
                <c:pt idx="5">
                  <c:v>2.2999999999999998</c:v>
                </c:pt>
                <c:pt idx="6">
                  <c:v>2.7</c:v>
                </c:pt>
                <c:pt idx="7">
                  <c:v>2.7</c:v>
                </c:pt>
                <c:pt idx="8">
                  <c:v>2.2999999999999998</c:v>
                </c:pt>
                <c:pt idx="9">
                  <c:v>2.2999999999999998</c:v>
                </c:pt>
                <c:pt idx="10">
                  <c:v>2.7</c:v>
                </c:pt>
                <c:pt idx="11">
                  <c:v>2.7</c:v>
                </c:pt>
                <c:pt idx="12">
                  <c:v>2.7</c:v>
                </c:pt>
                <c:pt idx="13">
                  <c:v>2.5</c:v>
                </c:pt>
                <c:pt idx="14">
                  <c:v>2.5</c:v>
                </c:pt>
                <c:pt idx="15">
                  <c:v>2.4</c:v>
                </c:pt>
                <c:pt idx="16">
                  <c:v>2.6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B30-4321-9EE6-3910D102DCBE}"/>
            </c:ext>
          </c:extLst>
        </c:ser>
        <c:ser>
          <c:idx val="3"/>
          <c:order val="3"/>
          <c:tx>
            <c:strRef>
              <c:f>[Boksplot1]Data!$E$2</c:f>
              <c:strCache>
                <c:ptCount val="1"/>
                <c:pt idx="0">
                  <c:v>Plot 4</c:v>
                </c:pt>
              </c:strCache>
            </c:strRef>
          </c:tx>
          <c:marker>
            <c:symbol val="none"/>
          </c:marker>
          <c:xVal>
            <c:numRef>
              <c:f>[Boksplot1]Data!$S$3:$S$19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xVal>
          <c:yVal>
            <c:numRef>
              <c:f>[Boksplot1]Data!$T$3:$T$19</c:f>
              <c:numCache>
                <c:formatCode>General</c:formatCode>
                <c:ptCount val="17"/>
                <c:pt idx="0">
                  <c:v>3.4</c:v>
                </c:pt>
                <c:pt idx="1">
                  <c:v>3.6</c:v>
                </c:pt>
                <c:pt idx="2">
                  <c:v>3.5</c:v>
                </c:pt>
                <c:pt idx="3">
                  <c:v>3.5</c:v>
                </c:pt>
                <c:pt idx="4">
                  <c:v>3.3</c:v>
                </c:pt>
                <c:pt idx="5">
                  <c:v>3.3</c:v>
                </c:pt>
                <c:pt idx="6">
                  <c:v>3.7</c:v>
                </c:pt>
                <c:pt idx="7">
                  <c:v>3.7</c:v>
                </c:pt>
                <c:pt idx="8">
                  <c:v>3.3</c:v>
                </c:pt>
                <c:pt idx="9">
                  <c:v>3.3</c:v>
                </c:pt>
                <c:pt idx="10">
                  <c:v>3.7</c:v>
                </c:pt>
                <c:pt idx="11">
                  <c:v>3.7</c:v>
                </c:pt>
                <c:pt idx="12">
                  <c:v>3.7</c:v>
                </c:pt>
                <c:pt idx="13">
                  <c:v>3.5</c:v>
                </c:pt>
                <c:pt idx="14">
                  <c:v>3.5</c:v>
                </c:pt>
                <c:pt idx="15">
                  <c:v>3.4</c:v>
                </c:pt>
                <c:pt idx="16">
                  <c:v>3.6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6B30-4321-9EE6-3910D102DCBE}"/>
            </c:ext>
          </c:extLst>
        </c:ser>
        <c:ser>
          <c:idx val="4"/>
          <c:order val="4"/>
          <c:tx>
            <c:strRef>
              <c:f>[Boksplot1]Data!$F$2</c:f>
              <c:strCache>
                <c:ptCount val="1"/>
                <c:pt idx="0">
                  <c:v>Plot 5</c:v>
                </c:pt>
              </c:strCache>
            </c:strRef>
          </c:tx>
          <c:marker>
            <c:symbol val="none"/>
          </c:marker>
          <c:xVal>
            <c:numRef>
              <c:f>[Boksplot1]Data!$U$3:$U$19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xVal>
          <c:yVal>
            <c:numRef>
              <c:f>[Boksplot1]Data!$V$3:$V$19</c:f>
              <c:numCache>
                <c:formatCode>General</c:formatCode>
                <c:ptCount val="17"/>
                <c:pt idx="0">
                  <c:v>4.4000000000000004</c:v>
                </c:pt>
                <c:pt idx="1">
                  <c:v>4.5999999999999996</c:v>
                </c:pt>
                <c:pt idx="2">
                  <c:v>4.5</c:v>
                </c:pt>
                <c:pt idx="3">
                  <c:v>4.5</c:v>
                </c:pt>
                <c:pt idx="4">
                  <c:v>4.3</c:v>
                </c:pt>
                <c:pt idx="5">
                  <c:v>4.3</c:v>
                </c:pt>
                <c:pt idx="6">
                  <c:v>4.7</c:v>
                </c:pt>
                <c:pt idx="7">
                  <c:v>4.7</c:v>
                </c:pt>
                <c:pt idx="8">
                  <c:v>4.3</c:v>
                </c:pt>
                <c:pt idx="9">
                  <c:v>4.3</c:v>
                </c:pt>
                <c:pt idx="10">
                  <c:v>4.7</c:v>
                </c:pt>
                <c:pt idx="11">
                  <c:v>4.7</c:v>
                </c:pt>
                <c:pt idx="12">
                  <c:v>4.7</c:v>
                </c:pt>
                <c:pt idx="13">
                  <c:v>4.5</c:v>
                </c:pt>
                <c:pt idx="14">
                  <c:v>4.5</c:v>
                </c:pt>
                <c:pt idx="15">
                  <c:v>4.4000000000000004</c:v>
                </c:pt>
                <c:pt idx="16">
                  <c:v>4.5999999999999996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6B30-4321-9EE6-3910D102DCBE}"/>
            </c:ext>
          </c:extLst>
        </c:ser>
        <c:ser>
          <c:idx val="5"/>
          <c:order val="5"/>
          <c:tx>
            <c:strRef>
              <c:f>[Boksplot1]Data!$G$2</c:f>
              <c:strCache>
                <c:ptCount val="1"/>
                <c:pt idx="0">
                  <c:v>Plot 6</c:v>
                </c:pt>
              </c:strCache>
            </c:strRef>
          </c:tx>
          <c:marker>
            <c:symbol val="none"/>
          </c:marker>
          <c:xVal>
            <c:numRef>
              <c:f>[Boksplot1]Data!$W$3:$W$19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xVal>
          <c:yVal>
            <c:numRef>
              <c:f>[Boksplot1]Data!$X$3:$X$19</c:f>
              <c:numCache>
                <c:formatCode>General</c:formatCode>
                <c:ptCount val="17"/>
                <c:pt idx="0">
                  <c:v>5.4</c:v>
                </c:pt>
                <c:pt idx="1">
                  <c:v>5.6</c:v>
                </c:pt>
                <c:pt idx="2">
                  <c:v>5.5</c:v>
                </c:pt>
                <c:pt idx="3">
                  <c:v>5.5</c:v>
                </c:pt>
                <c:pt idx="4">
                  <c:v>5.3</c:v>
                </c:pt>
                <c:pt idx="5">
                  <c:v>5.3</c:v>
                </c:pt>
                <c:pt idx="6">
                  <c:v>5.7</c:v>
                </c:pt>
                <c:pt idx="7">
                  <c:v>5.7</c:v>
                </c:pt>
                <c:pt idx="8">
                  <c:v>5.3</c:v>
                </c:pt>
                <c:pt idx="9">
                  <c:v>5.3</c:v>
                </c:pt>
                <c:pt idx="10">
                  <c:v>5.7</c:v>
                </c:pt>
                <c:pt idx="11">
                  <c:v>5.7</c:v>
                </c:pt>
                <c:pt idx="12">
                  <c:v>5.7</c:v>
                </c:pt>
                <c:pt idx="13">
                  <c:v>5.5</c:v>
                </c:pt>
                <c:pt idx="14">
                  <c:v>5.5</c:v>
                </c:pt>
                <c:pt idx="15">
                  <c:v>5.4</c:v>
                </c:pt>
                <c:pt idx="16">
                  <c:v>5.6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6B30-4321-9EE6-3910D102DCBE}"/>
            </c:ext>
          </c:extLst>
        </c:ser>
        <c:ser>
          <c:idx val="6"/>
          <c:order val="6"/>
          <c:tx>
            <c:strRef>
              <c:f>[Boksplot1]Data!$H$2</c:f>
              <c:strCache>
                <c:ptCount val="1"/>
                <c:pt idx="0">
                  <c:v>Plot 7</c:v>
                </c:pt>
              </c:strCache>
            </c:strRef>
          </c:tx>
          <c:marker>
            <c:symbol val="none"/>
          </c:marker>
          <c:xVal>
            <c:numRef>
              <c:f>[Boksplot1]Data!$Y$3:$Y$19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xVal>
          <c:yVal>
            <c:numRef>
              <c:f>[Boksplot1]Data!$Z$3:$Z$19</c:f>
              <c:numCache>
                <c:formatCode>General</c:formatCode>
                <c:ptCount val="17"/>
                <c:pt idx="0">
                  <c:v>6.4</c:v>
                </c:pt>
                <c:pt idx="1">
                  <c:v>6.6</c:v>
                </c:pt>
                <c:pt idx="2">
                  <c:v>6.5</c:v>
                </c:pt>
                <c:pt idx="3">
                  <c:v>6.5</c:v>
                </c:pt>
                <c:pt idx="4">
                  <c:v>6.3</c:v>
                </c:pt>
                <c:pt idx="5">
                  <c:v>6.3</c:v>
                </c:pt>
                <c:pt idx="6">
                  <c:v>6.7</c:v>
                </c:pt>
                <c:pt idx="7">
                  <c:v>6.7</c:v>
                </c:pt>
                <c:pt idx="8">
                  <c:v>6.3</c:v>
                </c:pt>
                <c:pt idx="9">
                  <c:v>6.3</c:v>
                </c:pt>
                <c:pt idx="10">
                  <c:v>6.7</c:v>
                </c:pt>
                <c:pt idx="11">
                  <c:v>6.7</c:v>
                </c:pt>
                <c:pt idx="12">
                  <c:v>6.7</c:v>
                </c:pt>
                <c:pt idx="13">
                  <c:v>6.5</c:v>
                </c:pt>
                <c:pt idx="14">
                  <c:v>6.5</c:v>
                </c:pt>
                <c:pt idx="15">
                  <c:v>6.4</c:v>
                </c:pt>
                <c:pt idx="16">
                  <c:v>6.6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6B30-4321-9EE6-3910D102DCBE}"/>
            </c:ext>
          </c:extLst>
        </c:ser>
        <c:ser>
          <c:idx val="7"/>
          <c:order val="7"/>
          <c:tx>
            <c:strRef>
              <c:f>[Boksplot1]Data!$I$2</c:f>
              <c:strCache>
                <c:ptCount val="1"/>
                <c:pt idx="0">
                  <c:v>Plot 8</c:v>
                </c:pt>
              </c:strCache>
            </c:strRef>
          </c:tx>
          <c:marker>
            <c:symbol val="none"/>
          </c:marker>
          <c:xVal>
            <c:numRef>
              <c:f>[Boksplot1]Data!$AA$3:$AA$19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xVal>
          <c:yVal>
            <c:numRef>
              <c:f>[Boksplot1]Data!$AB$3:$AB$19</c:f>
              <c:numCache>
                <c:formatCode>General</c:formatCode>
                <c:ptCount val="17"/>
                <c:pt idx="0">
                  <c:v>7.4</c:v>
                </c:pt>
                <c:pt idx="1">
                  <c:v>7.6</c:v>
                </c:pt>
                <c:pt idx="2">
                  <c:v>7.5</c:v>
                </c:pt>
                <c:pt idx="3">
                  <c:v>7.5</c:v>
                </c:pt>
                <c:pt idx="4">
                  <c:v>7.3</c:v>
                </c:pt>
                <c:pt idx="5">
                  <c:v>7.3</c:v>
                </c:pt>
                <c:pt idx="6">
                  <c:v>7.7</c:v>
                </c:pt>
                <c:pt idx="7">
                  <c:v>7.7</c:v>
                </c:pt>
                <c:pt idx="8">
                  <c:v>7.3</c:v>
                </c:pt>
                <c:pt idx="9">
                  <c:v>7.3</c:v>
                </c:pt>
                <c:pt idx="10">
                  <c:v>7.7</c:v>
                </c:pt>
                <c:pt idx="11">
                  <c:v>7.7</c:v>
                </c:pt>
                <c:pt idx="12">
                  <c:v>7.7</c:v>
                </c:pt>
                <c:pt idx="13">
                  <c:v>7.5</c:v>
                </c:pt>
                <c:pt idx="14">
                  <c:v>7.5</c:v>
                </c:pt>
                <c:pt idx="15">
                  <c:v>7.4</c:v>
                </c:pt>
                <c:pt idx="16">
                  <c:v>7.6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6B30-4321-9EE6-3910D102DCBE}"/>
            </c:ext>
          </c:extLst>
        </c:ser>
        <c:ser>
          <c:idx val="8"/>
          <c:order val="8"/>
          <c:tx>
            <c:strRef>
              <c:f>[Boksplot1]Data!$J$2</c:f>
              <c:strCache>
                <c:ptCount val="1"/>
                <c:pt idx="0">
                  <c:v>Plot 9</c:v>
                </c:pt>
              </c:strCache>
            </c:strRef>
          </c:tx>
          <c:marker>
            <c:symbol val="none"/>
          </c:marker>
          <c:xVal>
            <c:numRef>
              <c:f>[Boksplot1]Data!$AC$3:$AC$19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xVal>
          <c:yVal>
            <c:numRef>
              <c:f>[Boksplot1]Data!$AD$3:$AD$19</c:f>
              <c:numCache>
                <c:formatCode>General</c:formatCode>
                <c:ptCount val="17"/>
                <c:pt idx="0">
                  <c:v>8.4</c:v>
                </c:pt>
                <c:pt idx="1">
                  <c:v>8.6</c:v>
                </c:pt>
                <c:pt idx="2">
                  <c:v>8.5</c:v>
                </c:pt>
                <c:pt idx="3">
                  <c:v>8.5</c:v>
                </c:pt>
                <c:pt idx="4">
                  <c:v>8.3000000000000007</c:v>
                </c:pt>
                <c:pt idx="5">
                  <c:v>8.3000000000000007</c:v>
                </c:pt>
                <c:pt idx="6">
                  <c:v>8.6999999999999993</c:v>
                </c:pt>
                <c:pt idx="7">
                  <c:v>8.6999999999999993</c:v>
                </c:pt>
                <c:pt idx="8">
                  <c:v>8.3000000000000007</c:v>
                </c:pt>
                <c:pt idx="9">
                  <c:v>8.3000000000000007</c:v>
                </c:pt>
                <c:pt idx="10">
                  <c:v>8.6999999999999993</c:v>
                </c:pt>
                <c:pt idx="11">
                  <c:v>8.6999999999999993</c:v>
                </c:pt>
                <c:pt idx="12">
                  <c:v>8.6999999999999993</c:v>
                </c:pt>
                <c:pt idx="13">
                  <c:v>8.5</c:v>
                </c:pt>
                <c:pt idx="14">
                  <c:v>8.5</c:v>
                </c:pt>
                <c:pt idx="15">
                  <c:v>8.4</c:v>
                </c:pt>
                <c:pt idx="16">
                  <c:v>8.6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6B30-4321-9EE6-3910D102DCBE}"/>
            </c:ext>
          </c:extLst>
        </c:ser>
        <c:ser>
          <c:idx val="9"/>
          <c:order val="9"/>
          <c:tx>
            <c:strRef>
              <c:f>[Boksplot1]Data!$K$2</c:f>
              <c:strCache>
                <c:ptCount val="1"/>
                <c:pt idx="0">
                  <c:v>Plot 10</c:v>
                </c:pt>
              </c:strCache>
            </c:strRef>
          </c:tx>
          <c:marker>
            <c:symbol val="none"/>
          </c:marker>
          <c:xVal>
            <c:numRef>
              <c:f>[Boksplot1]Data!$AE$3:$AE$19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xVal>
          <c:yVal>
            <c:numRef>
              <c:f>[Boksplot1]Data!$AF$3:$AF$19</c:f>
              <c:numCache>
                <c:formatCode>General</c:formatCode>
                <c:ptCount val="17"/>
                <c:pt idx="0">
                  <c:v>9.4</c:v>
                </c:pt>
                <c:pt idx="1">
                  <c:v>9.6</c:v>
                </c:pt>
                <c:pt idx="2">
                  <c:v>9.5</c:v>
                </c:pt>
                <c:pt idx="3">
                  <c:v>9.5</c:v>
                </c:pt>
                <c:pt idx="4">
                  <c:v>9.3000000000000007</c:v>
                </c:pt>
                <c:pt idx="5">
                  <c:v>9.3000000000000007</c:v>
                </c:pt>
                <c:pt idx="6">
                  <c:v>9.6999999999999993</c:v>
                </c:pt>
                <c:pt idx="7">
                  <c:v>9.6999999999999993</c:v>
                </c:pt>
                <c:pt idx="8">
                  <c:v>9.3000000000000007</c:v>
                </c:pt>
                <c:pt idx="9">
                  <c:v>9.3000000000000007</c:v>
                </c:pt>
                <c:pt idx="10">
                  <c:v>9.6999999999999993</c:v>
                </c:pt>
                <c:pt idx="11">
                  <c:v>9.6999999999999993</c:v>
                </c:pt>
                <c:pt idx="12">
                  <c:v>9.6999999999999993</c:v>
                </c:pt>
                <c:pt idx="13">
                  <c:v>9.5</c:v>
                </c:pt>
                <c:pt idx="14">
                  <c:v>9.5</c:v>
                </c:pt>
                <c:pt idx="15">
                  <c:v>9.4</c:v>
                </c:pt>
                <c:pt idx="16">
                  <c:v>9.6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6B30-4321-9EE6-3910D102D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412544"/>
        <c:axId val="69862528"/>
      </c:scatterChart>
      <c:valAx>
        <c:axId val="72412544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69862528"/>
        <c:crosses val="autoZero"/>
        <c:crossBetween val="midCat"/>
      </c:valAx>
      <c:valAx>
        <c:axId val="69862528"/>
        <c:scaling>
          <c:orientation val="minMax"/>
          <c:max val="2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7241254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Histogram</a:t>
            </a:r>
          </a:p>
        </c:rich>
      </c:tx>
      <c:layout>
        <c:manualLayout>
          <c:xMode val="edge"/>
          <c:yMode val="edge"/>
          <c:x val="0.43674705756120108"/>
          <c:y val="9.8405141812251545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692736441652661E-2"/>
          <c:y val="0.13882352941176473"/>
          <c:w val="0.89861452711669465"/>
          <c:h val="0.68467500385981162"/>
        </c:manualLayout>
      </c:layout>
      <c:scatterChart>
        <c:scatterStyle val="line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  <a:effectLst/>
          </c:spPr>
          <c:marker>
            <c:symbol val="none"/>
          </c:marker>
          <c:errBars>
            <c:errDir val="y"/>
            <c:errBarType val="minus"/>
            <c:errValType val="percentage"/>
            <c:noEndCap val="1"/>
            <c:val val="100"/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xVal>
            <c:numRef>
              <c:f>[Statistik1]Data!$L$4:$L$39</c:f>
              <c:numCache>
                <c:formatCode>General</c:formatCode>
                <c:ptCount val="36"/>
                <c:pt idx="0">
                  <c:v>160</c:v>
                </c:pt>
                <c:pt idx="1">
                  <c:v>160</c:v>
                </c:pt>
                <c:pt idx="2">
                  <c:v>165</c:v>
                </c:pt>
                <c:pt idx="3">
                  <c:v>165</c:v>
                </c:pt>
                <c:pt idx="4">
                  <c:v>165</c:v>
                </c:pt>
                <c:pt idx="5">
                  <c:v>165</c:v>
                </c:pt>
                <c:pt idx="6">
                  <c:v>170</c:v>
                </c:pt>
                <c:pt idx="7">
                  <c:v>170</c:v>
                </c:pt>
                <c:pt idx="8">
                  <c:v>170</c:v>
                </c:pt>
                <c:pt idx="9">
                  <c:v>170</c:v>
                </c:pt>
                <c:pt idx="10">
                  <c:v>175</c:v>
                </c:pt>
                <c:pt idx="11">
                  <c:v>175</c:v>
                </c:pt>
                <c:pt idx="12">
                  <c:v>175</c:v>
                </c:pt>
                <c:pt idx="13">
                  <c:v>175</c:v>
                </c:pt>
                <c:pt idx="14">
                  <c:v>180</c:v>
                </c:pt>
                <c:pt idx="15">
                  <c:v>180</c:v>
                </c:pt>
                <c:pt idx="16">
                  <c:v>180</c:v>
                </c:pt>
                <c:pt idx="17">
                  <c:v>180</c:v>
                </c:pt>
                <c:pt idx="18">
                  <c:v>185</c:v>
                </c:pt>
                <c:pt idx="19">
                  <c:v>185</c:v>
                </c:pt>
                <c:pt idx="20">
                  <c:v>185</c:v>
                </c:pt>
                <c:pt idx="21">
                  <c:v>185</c:v>
                </c:pt>
                <c:pt idx="22">
                  <c:v>190</c:v>
                </c:pt>
                <c:pt idx="23">
                  <c:v>190</c:v>
                </c:pt>
                <c:pt idx="24">
                  <c:v>190</c:v>
                </c:pt>
                <c:pt idx="25">
                  <c:v>190</c:v>
                </c:pt>
                <c:pt idx="26">
                  <c:v>195</c:v>
                </c:pt>
                <c:pt idx="27">
                  <c:v>195</c:v>
                </c:pt>
                <c:pt idx="28">
                  <c:v>195</c:v>
                </c:pt>
                <c:pt idx="29">
                  <c:v>195</c:v>
                </c:pt>
                <c:pt idx="30">
                  <c:v>200</c:v>
                </c:pt>
                <c:pt idx="31">
                  <c:v>200</c:v>
                </c:pt>
                <c:pt idx="32">
                  <c:v>200</c:v>
                </c:pt>
                <c:pt idx="33">
                  <c:v>200</c:v>
                </c:pt>
                <c:pt idx="34">
                  <c:v>205</c:v>
                </c:pt>
                <c:pt idx="35">
                  <c:v>205</c:v>
                </c:pt>
              </c:numCache>
            </c:numRef>
          </c:xVal>
          <c:yVal>
            <c:numRef>
              <c:f>[Statistik1]Data!$M$4:$M$39</c:f>
              <c:numCache>
                <c:formatCode>General</c:formatCode>
                <c:ptCount val="36"/>
                <c:pt idx="0">
                  <c:v>0</c:v>
                </c:pt>
                <c:pt idx="1">
                  <c:v>0.8</c:v>
                </c:pt>
                <c:pt idx="2">
                  <c:v>0.8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3.2</c:v>
                </c:pt>
                <c:pt idx="10">
                  <c:v>3.2</c:v>
                </c:pt>
                <c:pt idx="11">
                  <c:v>0</c:v>
                </c:pt>
                <c:pt idx="12">
                  <c:v>0</c:v>
                </c:pt>
                <c:pt idx="13">
                  <c:v>1.2</c:v>
                </c:pt>
                <c:pt idx="14">
                  <c:v>1.2</c:v>
                </c:pt>
                <c:pt idx="15">
                  <c:v>0</c:v>
                </c:pt>
                <c:pt idx="16">
                  <c:v>0</c:v>
                </c:pt>
                <c:pt idx="17">
                  <c:v>1.4</c:v>
                </c:pt>
                <c:pt idx="18">
                  <c:v>1.4</c:v>
                </c:pt>
                <c:pt idx="19">
                  <c:v>0</c:v>
                </c:pt>
                <c:pt idx="20">
                  <c:v>0</c:v>
                </c:pt>
                <c:pt idx="21">
                  <c:v>1.2</c:v>
                </c:pt>
                <c:pt idx="22">
                  <c:v>1.2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0.2</c:v>
                </c:pt>
                <c:pt idx="34">
                  <c:v>0.2</c:v>
                </c:pt>
                <c:pt idx="35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595-4347-89F0-06F85772A9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4307528"/>
        <c:axId val="494299688"/>
      </c:scatterChart>
      <c:valAx>
        <c:axId val="494307528"/>
        <c:scaling>
          <c:orientation val="minMax"/>
          <c:max val="205"/>
          <c:min val="16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Højde</a:t>
                </a:r>
                <a:r>
                  <a:rPr lang="en-US" baseline="0"/>
                  <a:t> i cm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8459730455041435"/>
              <c:y val="0.91600904558210505"/>
            </c:manualLayout>
          </c:layout>
          <c:overlay val="0"/>
        </c:title>
        <c:numFmt formatCode="General" sourceLinked="1"/>
        <c:majorTickMark val="out"/>
        <c:minorTickMark val="in"/>
        <c:tickLblPos val="nextTo"/>
        <c:crossAx val="494299688"/>
        <c:crosses val="autoZero"/>
        <c:crossBetween val="midCat"/>
        <c:majorUnit val="5"/>
      </c:valAx>
      <c:valAx>
        <c:axId val="494299688"/>
        <c:scaling>
          <c:orientation val="minMax"/>
        </c:scaling>
        <c:delete val="0"/>
        <c:axPos val="l"/>
        <c:majorGridlines>
          <c:spPr>
            <a:ln w="3175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one"/>
        <c:crossAx val="494307528"/>
        <c:crosses val="autoZero"/>
        <c:crossBetween val="midCat"/>
        <c:majorUnit val="0.4"/>
        <c:minorUnit val="0.04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0.01136</cdr:x>
      <cdr:y>0.5436</cdr:y>
    </cdr:from>
    <cdr:to>
      <cdr:x>0.14566</cdr:x>
      <cdr:y>0.7725</cdr:y>
    </cdr:to>
    <cdr:sp macro="" textlink="">
      <cdr:nvSpPr>
        <cdr:cNvPr id="2" name="Tekstboks 1"/>
        <cdr:cNvSpPr txBox="1"/>
      </cdr:nvSpPr>
      <cdr:spPr>
        <a:xfrm xmlns:a="http://schemas.openxmlformats.org/drawingml/2006/main">
          <a:off x="60960" y="1219200"/>
          <a:ext cx="720437" cy="5133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da-DK" sz="1100"/>
            <a:t>HF</a:t>
          </a:r>
        </a:p>
        <a:p xmlns:a="http://schemas.openxmlformats.org/drawingml/2006/main">
          <a:endParaRPr lang="da-DK" sz="1100"/>
        </a:p>
      </cdr:txBody>
    </cdr:sp>
  </cdr:relSizeAnchor>
  <cdr:relSizeAnchor xmlns:cdr="http://schemas.openxmlformats.org/drawingml/2006/chartDrawing">
    <cdr:from>
      <cdr:x>0</cdr:x>
      <cdr:y>0.10872</cdr:y>
    </cdr:from>
    <cdr:to>
      <cdr:x>0.11952</cdr:x>
      <cdr:y>0.33604</cdr:y>
    </cdr:to>
    <cdr:sp macro="" textlink="">
      <cdr:nvSpPr>
        <cdr:cNvPr id="3" name="Tekstboks 1"/>
        <cdr:cNvSpPr txBox="1"/>
      </cdr:nvSpPr>
      <cdr:spPr>
        <a:xfrm xmlns:a="http://schemas.openxmlformats.org/drawingml/2006/main">
          <a:off x="0" y="243839"/>
          <a:ext cx="641162" cy="509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da-DK" sz="1100"/>
            <a:t>Lærere</a:t>
          </a:r>
        </a:p>
      </cdr:txBody>
    </cdr:sp>
  </cdr:relSizeAnchor>
  <cdr:relSizeAnchor xmlns:cdr="http://schemas.openxmlformats.org/drawingml/2006/chartDrawing">
    <cdr:from>
      <cdr:x>0.01417</cdr:x>
      <cdr:y>0.05096</cdr:y>
    </cdr:from>
    <cdr:to>
      <cdr:x>0.27378</cdr:x>
      <cdr:y>0.18369</cdr:y>
    </cdr:to>
    <cdr:sp macro="" textlink="">
      <cdr:nvSpPr>
        <cdr:cNvPr id="4" name="Tekstboks 1"/>
        <cdr:cNvSpPr txBox="1"/>
      </cdr:nvSpPr>
      <cdr:spPr>
        <a:xfrm xmlns:a="http://schemas.openxmlformats.org/drawingml/2006/main">
          <a:off x="76200" y="114300"/>
          <a:ext cx="1396299" cy="297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a-DK" sz="1100"/>
        </a:p>
      </cdr:txBody>
    </cdr:sp>
  </cdr:relSizeAnchor>
  <cdr:relSizeAnchor xmlns:cdr="http://schemas.openxmlformats.org/drawingml/2006/chartDrawing">
    <cdr:from>
      <cdr:x>0.01417</cdr:x>
      <cdr:y>0.05096</cdr:y>
    </cdr:from>
    <cdr:to>
      <cdr:x>0.27378</cdr:x>
      <cdr:y>0.18369</cdr:y>
    </cdr:to>
    <cdr:sp macro="" textlink="">
      <cdr:nvSpPr>
        <cdr:cNvPr id="5" name="Tekstboks 1"/>
        <cdr:cNvSpPr txBox="1"/>
      </cdr:nvSpPr>
      <cdr:spPr>
        <a:xfrm xmlns:a="http://schemas.openxmlformats.org/drawingml/2006/main">
          <a:off x="76200" y="114300"/>
          <a:ext cx="1396299" cy="297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a-DK" sz="1100"/>
        </a:p>
      </cdr:txBody>
    </cdr:sp>
  </cdr:relSizeAnchor>
  <cdr:relSizeAnchor xmlns:cdr="http://schemas.openxmlformats.org/drawingml/2006/chartDrawing">
    <cdr:from>
      <cdr:x>0.01417</cdr:x>
      <cdr:y>0.05096</cdr:y>
    </cdr:from>
    <cdr:to>
      <cdr:x>0.27378</cdr:x>
      <cdr:y>0.18369</cdr:y>
    </cdr:to>
    <cdr:sp macro="" textlink="">
      <cdr:nvSpPr>
        <cdr:cNvPr id="6" name="Tekstboks 1"/>
        <cdr:cNvSpPr txBox="1"/>
      </cdr:nvSpPr>
      <cdr:spPr>
        <a:xfrm xmlns:a="http://schemas.openxmlformats.org/drawingml/2006/main">
          <a:off x="76200" y="114300"/>
          <a:ext cx="1396299" cy="297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a-DK" sz="1100"/>
        </a:p>
      </cdr:txBody>
    </cdr:sp>
  </cdr:relSizeAnchor>
  <cdr:relSizeAnchor xmlns:cdr="http://schemas.openxmlformats.org/drawingml/2006/chartDrawing">
    <cdr:from>
      <cdr:x>0.01417</cdr:x>
      <cdr:y>0.05096</cdr:y>
    </cdr:from>
    <cdr:to>
      <cdr:x>0.27378</cdr:x>
      <cdr:y>0.18369</cdr:y>
    </cdr:to>
    <cdr:sp macro="" textlink="">
      <cdr:nvSpPr>
        <cdr:cNvPr id="7" name="Tekstboks 1"/>
        <cdr:cNvSpPr txBox="1"/>
      </cdr:nvSpPr>
      <cdr:spPr>
        <a:xfrm xmlns:a="http://schemas.openxmlformats.org/drawingml/2006/main">
          <a:off x="76200" y="114300"/>
          <a:ext cx="1396299" cy="297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a-DK" sz="1100"/>
        </a:p>
      </cdr:txBody>
    </cdr:sp>
  </cdr:relSizeAnchor>
  <cdr:relSizeAnchor xmlns:cdr="http://schemas.openxmlformats.org/drawingml/2006/chartDrawing">
    <cdr:from>
      <cdr:x>0.01417</cdr:x>
      <cdr:y>0.05096</cdr:y>
    </cdr:from>
    <cdr:to>
      <cdr:x>0.27378</cdr:x>
      <cdr:y>0.18369</cdr:y>
    </cdr:to>
    <cdr:sp macro="" textlink="">
      <cdr:nvSpPr>
        <cdr:cNvPr id="8" name="Tekstboks 1"/>
        <cdr:cNvSpPr txBox="1"/>
      </cdr:nvSpPr>
      <cdr:spPr>
        <a:xfrm xmlns:a="http://schemas.openxmlformats.org/drawingml/2006/main">
          <a:off x="76200" y="114300"/>
          <a:ext cx="1396299" cy="297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a-DK" sz="1100"/>
        </a:p>
      </cdr:txBody>
    </cdr:sp>
  </cdr:relSizeAnchor>
  <cdr:relSizeAnchor xmlns:cdr="http://schemas.openxmlformats.org/drawingml/2006/chartDrawing">
    <cdr:from>
      <cdr:x>0.01417</cdr:x>
      <cdr:y>0.05096</cdr:y>
    </cdr:from>
    <cdr:to>
      <cdr:x>0.27378</cdr:x>
      <cdr:y>0.18369</cdr:y>
    </cdr:to>
    <cdr:sp macro="" textlink="">
      <cdr:nvSpPr>
        <cdr:cNvPr id="9" name="Tekstboks 1"/>
        <cdr:cNvSpPr txBox="1"/>
      </cdr:nvSpPr>
      <cdr:spPr>
        <a:xfrm xmlns:a="http://schemas.openxmlformats.org/drawingml/2006/main">
          <a:off x="76200" y="114300"/>
          <a:ext cx="1396299" cy="297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a-DK" sz="1100"/>
        </a:p>
      </cdr:txBody>
    </cdr:sp>
  </cdr:relSizeAnchor>
  <cdr:relSizeAnchor xmlns:cdr="http://schemas.openxmlformats.org/drawingml/2006/chartDrawing">
    <cdr:from>
      <cdr:x>0.01417</cdr:x>
      <cdr:y>0.05096</cdr:y>
    </cdr:from>
    <cdr:to>
      <cdr:x>0.27378</cdr:x>
      <cdr:y>0.18369</cdr:y>
    </cdr:to>
    <cdr:sp macro="" textlink="">
      <cdr:nvSpPr>
        <cdr:cNvPr id="10" name="Tekstboks 1"/>
        <cdr:cNvSpPr txBox="1"/>
      </cdr:nvSpPr>
      <cdr:spPr>
        <a:xfrm xmlns:a="http://schemas.openxmlformats.org/drawingml/2006/main">
          <a:off x="76200" y="114300"/>
          <a:ext cx="1396299" cy="297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a-DK" sz="1100"/>
        </a:p>
      </cdr:txBody>
    </cdr:sp>
  </cdr:relSizeAnchor>
  <cdr:relSizeAnchor xmlns:cdr="http://schemas.openxmlformats.org/drawingml/2006/chartDrawing">
    <cdr:from>
      <cdr:x>0.01417</cdr:x>
      <cdr:y>0.05096</cdr:y>
    </cdr:from>
    <cdr:to>
      <cdr:x>0.27378</cdr:x>
      <cdr:y>0.18369</cdr:y>
    </cdr:to>
    <cdr:sp macro="" textlink="">
      <cdr:nvSpPr>
        <cdr:cNvPr id="11" name="Tekstboks 1"/>
        <cdr:cNvSpPr txBox="1"/>
      </cdr:nvSpPr>
      <cdr:spPr>
        <a:xfrm xmlns:a="http://schemas.openxmlformats.org/drawingml/2006/main">
          <a:off x="76200" y="114300"/>
          <a:ext cx="1396299" cy="297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da-DK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0.05592</cdr:x>
      <cdr:y>0.00897</cdr:y>
    </cdr:from>
    <cdr:to>
      <cdr:x>0.38158</cdr:x>
      <cdr:y>0.14798</cdr:y>
    </cdr:to>
    <cdr:sp macro="" textlink="">
      <cdr:nvSpPr>
        <cdr:cNvPr id="2" name="Tekstboks 1"/>
        <cdr:cNvSpPr txBox="1"/>
      </cdr:nvSpPr>
      <cdr:spPr>
        <a:xfrm xmlns:a="http://schemas.openxmlformats.org/drawingml/2006/main">
          <a:off x="161925" y="19051"/>
          <a:ext cx="94297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da-DK" sz="1100"/>
        </a:p>
      </cdr:txBody>
    </cdr:sp>
  </cdr:relSizeAnchor>
</c:userShape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1363</Words>
  <Characters>8316</Characters>
  <Application>Microsoft Office Word</Application>
  <DocSecurity>0</DocSecurity>
  <Lines>69</Lines>
  <Paragraphs>19</Paragraphs>
  <ScaleCrop>false</ScaleCrop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1</cp:revision>
  <dcterms:created xsi:type="dcterms:W3CDTF">2026-05-11T17:51:00Z</dcterms:created>
  <dcterms:modified xsi:type="dcterms:W3CDTF">2026-05-11T17:52:00Z</dcterms:modified>
</cp:coreProperties>
</file>