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B2" w:rsidRPr="00293FA3" w:rsidRDefault="008134B2">
      <w:pPr>
        <w:pStyle w:val="Overskrift1"/>
        <w:rPr>
          <w:rFonts w:ascii="Cambria" w:hAnsi="Cambria" w:cs="Calibri"/>
          <w:b/>
          <w:sz w:val="44"/>
          <w:szCs w:val="22"/>
        </w:rPr>
      </w:pPr>
      <w:r w:rsidRPr="00293FA3">
        <w:rPr>
          <w:rFonts w:ascii="Cambria" w:hAnsi="Cambria" w:cs="Calibri"/>
          <w:b/>
          <w:sz w:val="44"/>
          <w:szCs w:val="22"/>
        </w:rPr>
        <w:t>Sharia</w:t>
      </w:r>
    </w:p>
    <w:p w:rsidR="00E65013" w:rsidRPr="00293FA3" w:rsidRDefault="00E65013" w:rsidP="00E65013">
      <w:pPr>
        <w:rPr>
          <w:rFonts w:ascii="Calibri" w:hAnsi="Calibri" w:cs="Calibri"/>
          <w:sz w:val="22"/>
          <w:szCs w:val="22"/>
        </w:rPr>
      </w:pPr>
    </w:p>
    <w:p w:rsidR="00E65013" w:rsidRPr="00293FA3" w:rsidRDefault="00E65013" w:rsidP="00E65013">
      <w:pPr>
        <w:rPr>
          <w:rFonts w:ascii="Calibri" w:hAnsi="Calibri" w:cs="Calibri"/>
          <w:szCs w:val="22"/>
        </w:rPr>
      </w:pPr>
      <w:r w:rsidRPr="00293FA3">
        <w:rPr>
          <w:rFonts w:ascii="Calibri" w:hAnsi="Calibri" w:cs="Calibri"/>
          <w:szCs w:val="22"/>
        </w:rPr>
        <w:t>- ”vejen til drikkestedet”</w:t>
      </w:r>
    </w:p>
    <w:p w:rsidR="00E65013" w:rsidRPr="00293FA3" w:rsidRDefault="00E65013" w:rsidP="00E65013">
      <w:pPr>
        <w:rPr>
          <w:rFonts w:ascii="Calibri" w:hAnsi="Calibri" w:cs="Calibri"/>
          <w:szCs w:val="22"/>
        </w:rPr>
      </w:pPr>
      <w:r w:rsidRPr="00293FA3">
        <w:rPr>
          <w:rFonts w:ascii="Calibri" w:hAnsi="Calibri" w:cs="Calibri"/>
          <w:szCs w:val="22"/>
        </w:rPr>
        <w:t>- at leve sit liv efter Allahs vilje</w:t>
      </w:r>
    </w:p>
    <w:p w:rsidR="008134B2" w:rsidRPr="00293FA3" w:rsidRDefault="008134B2">
      <w:pPr>
        <w:rPr>
          <w:rFonts w:ascii="Calibri" w:hAnsi="Calibri" w:cs="Calibri"/>
          <w:sz w:val="20"/>
          <w:szCs w:val="22"/>
        </w:rPr>
      </w:pPr>
    </w:p>
    <w:p w:rsidR="00E65013" w:rsidRPr="00293FA3" w:rsidRDefault="00E65013">
      <w:pPr>
        <w:rPr>
          <w:rFonts w:ascii="Calibri" w:hAnsi="Calibri" w:cs="Calibri"/>
          <w:sz w:val="20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>Når en religions grundlægger dør</w:t>
      </w:r>
      <w:r w:rsidR="007F7FEA" w:rsidRPr="00293FA3">
        <w:rPr>
          <w:rFonts w:ascii="Calibri" w:hAnsi="Calibri" w:cs="Calibri"/>
          <w:sz w:val="22"/>
          <w:szCs w:val="22"/>
        </w:rPr>
        <w:t>,</w:t>
      </w:r>
      <w:r w:rsidRPr="00293FA3">
        <w:rPr>
          <w:rFonts w:ascii="Calibri" w:hAnsi="Calibri" w:cs="Calibri"/>
          <w:sz w:val="22"/>
          <w:szCs w:val="22"/>
        </w:rPr>
        <w:t xml:space="preserve"> sker der som regel det, at hans tilhængere må reorganisere det grundlag, som det religiøse samfund bygger på. For </w:t>
      </w:r>
      <w:r w:rsidR="007F7FEA" w:rsidRPr="00293FA3">
        <w:rPr>
          <w:rFonts w:ascii="Calibri" w:hAnsi="Calibri" w:cs="Calibri"/>
          <w:sz w:val="22"/>
          <w:szCs w:val="22"/>
        </w:rPr>
        <w:t>i</w:t>
      </w:r>
      <w:r w:rsidRPr="00293FA3">
        <w:rPr>
          <w:rFonts w:ascii="Calibri" w:hAnsi="Calibri" w:cs="Calibri"/>
          <w:sz w:val="22"/>
          <w:szCs w:val="22"/>
        </w:rPr>
        <w:t>slams vedkommende bliver resultatet oprettelsen af et kalifat, der fungerer som øverste myndighed.</w:t>
      </w: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>Muhammads rolle som religiøs, politisk og juridisk hovedfigur videreføre</w:t>
      </w:r>
      <w:r w:rsidR="007F7FEA" w:rsidRPr="00293FA3">
        <w:rPr>
          <w:rFonts w:ascii="Calibri" w:hAnsi="Calibri" w:cs="Calibri"/>
          <w:sz w:val="22"/>
          <w:szCs w:val="22"/>
        </w:rPr>
        <w:t>s i nogen grad af kalifferne, men i takt med</w:t>
      </w:r>
      <w:r w:rsidRPr="00293FA3">
        <w:rPr>
          <w:rFonts w:ascii="Calibri" w:hAnsi="Calibri" w:cs="Calibri"/>
          <w:sz w:val="22"/>
          <w:szCs w:val="22"/>
        </w:rPr>
        <w:t xml:space="preserve"> at det islamiske rige ekspanderer, uddelegeres magten til underordnede instanser.</w:t>
      </w: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>Således opstår der en stand af dommere (</w:t>
      </w:r>
      <w:proofErr w:type="spellStart"/>
      <w:r w:rsidRPr="00293FA3">
        <w:rPr>
          <w:rFonts w:ascii="Calibri" w:hAnsi="Calibri" w:cs="Calibri"/>
          <w:i/>
          <w:iCs/>
          <w:sz w:val="22"/>
          <w:szCs w:val="22"/>
        </w:rPr>
        <w:t>qadi</w:t>
      </w:r>
      <w:r w:rsidRPr="00293FA3">
        <w:rPr>
          <w:rFonts w:ascii="Calibri" w:hAnsi="Calibri" w:cs="Calibri"/>
          <w:sz w:val="22"/>
          <w:szCs w:val="22"/>
        </w:rPr>
        <w:t>’er</w:t>
      </w:r>
      <w:proofErr w:type="spellEnd"/>
      <w:r w:rsidRPr="00293FA3">
        <w:rPr>
          <w:rFonts w:ascii="Calibri" w:hAnsi="Calibri" w:cs="Calibri"/>
          <w:sz w:val="22"/>
          <w:szCs w:val="22"/>
        </w:rPr>
        <w:t xml:space="preserve">), der skal træffe afgørelser i lokale stridsspørgsmål. Disse dommeres afgørelser udledes af Koranen og profetens </w:t>
      </w:r>
      <w:proofErr w:type="spellStart"/>
      <w:r w:rsidRPr="00293FA3">
        <w:rPr>
          <w:rFonts w:ascii="Calibri" w:hAnsi="Calibri" w:cs="Calibri"/>
          <w:i/>
          <w:iCs/>
          <w:sz w:val="22"/>
          <w:szCs w:val="22"/>
        </w:rPr>
        <w:t>sunna</w:t>
      </w:r>
      <w:proofErr w:type="spellEnd"/>
      <w:r w:rsidRPr="00293FA3">
        <w:rPr>
          <w:rFonts w:ascii="Calibri" w:hAnsi="Calibri" w:cs="Calibri"/>
          <w:sz w:val="22"/>
          <w:szCs w:val="22"/>
        </w:rPr>
        <w:t xml:space="preserve">. I praksis viser det sig </w:t>
      </w:r>
      <w:r w:rsidR="007F7FEA" w:rsidRPr="00293FA3">
        <w:rPr>
          <w:rFonts w:ascii="Calibri" w:hAnsi="Calibri" w:cs="Calibri"/>
          <w:sz w:val="22"/>
          <w:szCs w:val="22"/>
        </w:rPr>
        <w:t>dog</w:t>
      </w:r>
      <w:r w:rsidRPr="00293FA3">
        <w:rPr>
          <w:rFonts w:ascii="Calibri" w:hAnsi="Calibri" w:cs="Calibri"/>
          <w:sz w:val="22"/>
          <w:szCs w:val="22"/>
        </w:rPr>
        <w:t xml:space="preserve">, at afgørelserne </w:t>
      </w:r>
      <w:r w:rsidR="00293FA3" w:rsidRPr="00293FA3">
        <w:rPr>
          <w:rFonts w:ascii="Calibri" w:hAnsi="Calibri" w:cs="Calibri"/>
          <w:sz w:val="22"/>
          <w:szCs w:val="22"/>
        </w:rPr>
        <w:t>er ret vilkårlige</w:t>
      </w:r>
      <w:r w:rsidRPr="00293FA3">
        <w:rPr>
          <w:rFonts w:ascii="Calibri" w:hAnsi="Calibri" w:cs="Calibri"/>
          <w:sz w:val="22"/>
          <w:szCs w:val="22"/>
        </w:rPr>
        <w:t xml:space="preserve"> (dels fordi </w:t>
      </w:r>
      <w:proofErr w:type="spellStart"/>
      <w:r w:rsidRPr="00293FA3">
        <w:rPr>
          <w:rFonts w:ascii="Calibri" w:hAnsi="Calibri" w:cs="Calibri"/>
          <w:i/>
          <w:iCs/>
          <w:sz w:val="22"/>
          <w:szCs w:val="22"/>
        </w:rPr>
        <w:t>sunna</w:t>
      </w:r>
      <w:proofErr w:type="spellEnd"/>
      <w:r w:rsidRPr="00293FA3">
        <w:rPr>
          <w:rFonts w:ascii="Calibri" w:hAnsi="Calibri" w:cs="Calibri"/>
          <w:sz w:val="22"/>
          <w:szCs w:val="22"/>
        </w:rPr>
        <w:t xml:space="preserve"> ikke altid er lige entydig, dels fordi der opstår spørgsmål, der tilsyneladende ikke kan besvares alene med henvisning til Koran og </w:t>
      </w:r>
      <w:proofErr w:type="spellStart"/>
      <w:r w:rsidRPr="00293FA3">
        <w:rPr>
          <w:rFonts w:ascii="Calibri" w:hAnsi="Calibri" w:cs="Calibri"/>
          <w:i/>
          <w:iCs/>
          <w:sz w:val="22"/>
          <w:szCs w:val="22"/>
        </w:rPr>
        <w:t>sunna</w:t>
      </w:r>
      <w:proofErr w:type="spellEnd"/>
      <w:r w:rsidRPr="00293FA3">
        <w:rPr>
          <w:rFonts w:ascii="Calibri" w:hAnsi="Calibri" w:cs="Calibri"/>
          <w:sz w:val="22"/>
          <w:szCs w:val="22"/>
        </w:rPr>
        <w:t>). Derfor må man finde nogle fælles grundlæggende principper, som kan udgøre en retspraksis.</w:t>
      </w: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>I forlængelse heraf vokser der i 700- og 800-tallet en egentlig retsvidenskab frem (</w:t>
      </w:r>
      <w:proofErr w:type="spellStart"/>
      <w:r w:rsidRPr="00293FA3">
        <w:rPr>
          <w:rFonts w:ascii="Calibri" w:hAnsi="Calibri" w:cs="Calibri"/>
          <w:i/>
          <w:iCs/>
          <w:sz w:val="22"/>
          <w:szCs w:val="22"/>
        </w:rPr>
        <w:t>fiqh</w:t>
      </w:r>
      <w:proofErr w:type="spellEnd"/>
      <w:r w:rsidRPr="00293FA3">
        <w:rPr>
          <w:rFonts w:ascii="Calibri" w:hAnsi="Calibri" w:cs="Calibri"/>
          <w:sz w:val="22"/>
          <w:szCs w:val="22"/>
        </w:rPr>
        <w:t xml:space="preserve">). Den praktiseres i forskellige </w:t>
      </w:r>
      <w:proofErr w:type="spellStart"/>
      <w:r w:rsidRPr="00293FA3">
        <w:rPr>
          <w:rFonts w:ascii="Calibri" w:hAnsi="Calibri" w:cs="Calibri"/>
          <w:sz w:val="22"/>
          <w:szCs w:val="22"/>
        </w:rPr>
        <w:t>retsskoler</w:t>
      </w:r>
      <w:proofErr w:type="spellEnd"/>
      <w:r w:rsidRPr="00293FA3">
        <w:rPr>
          <w:rFonts w:ascii="Calibri" w:hAnsi="Calibri" w:cs="Calibri"/>
          <w:sz w:val="22"/>
          <w:szCs w:val="22"/>
        </w:rPr>
        <w:t xml:space="preserve">, der med forskellig vægt benytter sig af fire udgangspunkter: </w:t>
      </w:r>
      <w:r w:rsidRPr="00293FA3">
        <w:rPr>
          <w:rFonts w:ascii="Calibri" w:hAnsi="Calibri" w:cs="Calibri"/>
          <w:b/>
          <w:bCs/>
          <w:sz w:val="22"/>
          <w:szCs w:val="22"/>
        </w:rPr>
        <w:t>Koranen</w:t>
      </w:r>
      <w:r w:rsidRPr="00293FA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93FA3">
        <w:rPr>
          <w:rFonts w:ascii="Calibri" w:hAnsi="Calibri" w:cs="Calibri"/>
          <w:b/>
          <w:bCs/>
          <w:i/>
          <w:iCs/>
          <w:sz w:val="22"/>
          <w:szCs w:val="22"/>
        </w:rPr>
        <w:t>sunna</w:t>
      </w:r>
      <w:proofErr w:type="spellEnd"/>
      <w:r w:rsidRPr="00293FA3">
        <w:rPr>
          <w:rFonts w:ascii="Calibri" w:hAnsi="Calibri" w:cs="Calibri"/>
          <w:sz w:val="22"/>
          <w:szCs w:val="22"/>
        </w:rPr>
        <w:t xml:space="preserve">, </w:t>
      </w:r>
      <w:r w:rsidRPr="00293FA3">
        <w:rPr>
          <w:rFonts w:ascii="Calibri" w:hAnsi="Calibri" w:cs="Calibri"/>
          <w:b/>
          <w:bCs/>
          <w:sz w:val="22"/>
          <w:szCs w:val="22"/>
        </w:rPr>
        <w:t>analogiske slutninger</w:t>
      </w:r>
      <w:r w:rsidRPr="00293FA3">
        <w:rPr>
          <w:rFonts w:ascii="Calibri" w:hAnsi="Calibri" w:cs="Calibri"/>
          <w:sz w:val="22"/>
          <w:szCs w:val="22"/>
        </w:rPr>
        <w:t xml:space="preserve"> på grundlag af skrifterne, samt </w:t>
      </w:r>
      <w:r w:rsidRPr="00293FA3">
        <w:rPr>
          <w:rFonts w:ascii="Calibri" w:hAnsi="Calibri" w:cs="Calibri"/>
          <w:b/>
          <w:bCs/>
          <w:sz w:val="22"/>
          <w:szCs w:val="22"/>
        </w:rPr>
        <w:t>enighed</w:t>
      </w:r>
      <w:r w:rsidRPr="00293FA3">
        <w:rPr>
          <w:rFonts w:ascii="Calibri" w:hAnsi="Calibri" w:cs="Calibri"/>
          <w:sz w:val="22"/>
          <w:szCs w:val="22"/>
        </w:rPr>
        <w:t xml:space="preserve"> blandt de retslærde.</w:t>
      </w: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 xml:space="preserve">Den guddommelige </w:t>
      </w:r>
      <w:r w:rsidR="007F7FEA" w:rsidRPr="00293FA3">
        <w:rPr>
          <w:rFonts w:ascii="Calibri" w:hAnsi="Calibri" w:cs="Calibri"/>
          <w:sz w:val="22"/>
          <w:szCs w:val="22"/>
        </w:rPr>
        <w:t>”</w:t>
      </w:r>
      <w:r w:rsidRPr="00293FA3">
        <w:rPr>
          <w:rFonts w:ascii="Calibri" w:hAnsi="Calibri" w:cs="Calibri"/>
          <w:sz w:val="22"/>
          <w:szCs w:val="22"/>
        </w:rPr>
        <w:t>lov</w:t>
      </w:r>
      <w:r w:rsidR="007F7FEA" w:rsidRPr="00293FA3">
        <w:rPr>
          <w:rFonts w:ascii="Calibri" w:hAnsi="Calibri" w:cs="Calibri"/>
          <w:sz w:val="22"/>
          <w:szCs w:val="22"/>
        </w:rPr>
        <w:t>”</w:t>
      </w:r>
      <w:r w:rsidRPr="00293FA3">
        <w:rPr>
          <w:rFonts w:ascii="Calibri" w:hAnsi="Calibri" w:cs="Calibri"/>
          <w:sz w:val="22"/>
          <w:szCs w:val="22"/>
        </w:rPr>
        <w:t xml:space="preserve">, som en muslim skal følge, SHARIA (=”vejen til drikkestedet”), er således ikke direkte nedfældet, men udledt gennem juridisk </w:t>
      </w:r>
      <w:r w:rsidR="00B34AC2" w:rsidRPr="00293FA3">
        <w:rPr>
          <w:rFonts w:ascii="Calibri" w:hAnsi="Calibri" w:cs="Calibri"/>
          <w:b/>
          <w:sz w:val="22"/>
          <w:szCs w:val="22"/>
        </w:rPr>
        <w:t>fortolknings</w:t>
      </w:r>
      <w:r w:rsidRPr="00293FA3">
        <w:rPr>
          <w:rFonts w:ascii="Calibri" w:hAnsi="Calibri" w:cs="Calibri"/>
          <w:b/>
          <w:sz w:val="22"/>
          <w:szCs w:val="22"/>
        </w:rPr>
        <w:t>arbejde</w:t>
      </w:r>
      <w:r w:rsidRPr="00293FA3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93FA3">
        <w:rPr>
          <w:rFonts w:ascii="Calibri" w:hAnsi="Calibri" w:cs="Calibri"/>
          <w:i/>
          <w:iCs/>
          <w:sz w:val="22"/>
          <w:szCs w:val="22"/>
        </w:rPr>
        <w:t>fiqh</w:t>
      </w:r>
      <w:proofErr w:type="spellEnd"/>
      <w:r w:rsidRPr="00293FA3">
        <w:rPr>
          <w:rFonts w:ascii="Calibri" w:hAnsi="Calibri" w:cs="Calibri"/>
          <w:sz w:val="22"/>
          <w:szCs w:val="22"/>
        </w:rPr>
        <w:t>).</w:t>
      </w: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 xml:space="preserve">I dag hersker der i den muslimske verden nogen uenighed om, hvorvidt det fortolkende lovgivningsarbejde (”anstrengelsen” = </w:t>
      </w:r>
      <w:proofErr w:type="spellStart"/>
      <w:r w:rsidRPr="00293FA3">
        <w:rPr>
          <w:rFonts w:ascii="Calibri" w:hAnsi="Calibri" w:cs="Calibri"/>
          <w:i/>
          <w:iCs/>
          <w:sz w:val="22"/>
          <w:szCs w:val="22"/>
        </w:rPr>
        <w:t>idjtihad</w:t>
      </w:r>
      <w:proofErr w:type="spellEnd"/>
      <w:r w:rsidRPr="00293FA3">
        <w:rPr>
          <w:rFonts w:ascii="Calibri" w:hAnsi="Calibri" w:cs="Calibri"/>
          <w:sz w:val="22"/>
          <w:szCs w:val="22"/>
        </w:rPr>
        <w:t xml:space="preserve">) i 700- og 800-tallets </w:t>
      </w:r>
      <w:proofErr w:type="spellStart"/>
      <w:r w:rsidRPr="00293FA3">
        <w:rPr>
          <w:rFonts w:ascii="Calibri" w:hAnsi="Calibri" w:cs="Calibri"/>
          <w:sz w:val="22"/>
          <w:szCs w:val="22"/>
        </w:rPr>
        <w:t>retsskoler</w:t>
      </w:r>
      <w:proofErr w:type="spellEnd"/>
      <w:r w:rsidRPr="00293FA3">
        <w:rPr>
          <w:rFonts w:ascii="Calibri" w:hAnsi="Calibri" w:cs="Calibri"/>
          <w:sz w:val="22"/>
          <w:szCs w:val="22"/>
        </w:rPr>
        <w:t xml:space="preserve"> er endegyldigt, dvs. om alle nødvendige afgørelser er truffet. </w:t>
      </w: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 xml:space="preserve">En anden uenighed </w:t>
      </w:r>
      <w:r w:rsidR="00293FA3" w:rsidRPr="00293FA3">
        <w:rPr>
          <w:rFonts w:ascii="Calibri" w:hAnsi="Calibri" w:cs="Calibri"/>
          <w:sz w:val="22"/>
          <w:szCs w:val="22"/>
        </w:rPr>
        <w:t xml:space="preserve">i muslimske lande </w:t>
      </w:r>
      <w:r w:rsidRPr="00293FA3">
        <w:rPr>
          <w:rFonts w:ascii="Calibri" w:hAnsi="Calibri" w:cs="Calibri"/>
          <w:sz w:val="22"/>
          <w:szCs w:val="22"/>
        </w:rPr>
        <w:t xml:space="preserve">gælder i forhold til spørgsmålet om, hvorvidt SHARIA blot skal være </w:t>
      </w:r>
      <w:r w:rsidRPr="00293FA3">
        <w:rPr>
          <w:rFonts w:ascii="Calibri" w:hAnsi="Calibri" w:cs="Calibri"/>
          <w:i/>
          <w:iCs/>
          <w:sz w:val="22"/>
          <w:szCs w:val="22"/>
        </w:rPr>
        <w:t>vejledende</w:t>
      </w:r>
      <w:r w:rsidRPr="00293FA3">
        <w:rPr>
          <w:rFonts w:ascii="Calibri" w:hAnsi="Calibri" w:cs="Calibri"/>
          <w:sz w:val="22"/>
          <w:szCs w:val="22"/>
        </w:rPr>
        <w:t xml:space="preserve"> for en stats lovgivning, eller om </w:t>
      </w:r>
      <w:proofErr w:type="spellStart"/>
      <w:r w:rsidRPr="00293FA3">
        <w:rPr>
          <w:rFonts w:ascii="Calibri" w:hAnsi="Calibri" w:cs="Calibri"/>
          <w:i/>
          <w:iCs/>
          <w:sz w:val="22"/>
          <w:szCs w:val="22"/>
        </w:rPr>
        <w:t>fiqh</w:t>
      </w:r>
      <w:proofErr w:type="spellEnd"/>
      <w:r w:rsidRPr="00293FA3">
        <w:rPr>
          <w:rFonts w:ascii="Calibri" w:hAnsi="Calibri" w:cs="Calibri"/>
          <w:sz w:val="22"/>
          <w:szCs w:val="22"/>
        </w:rPr>
        <w:t xml:space="preserve"> helt skal </w:t>
      </w:r>
      <w:r w:rsidRPr="00293FA3">
        <w:rPr>
          <w:rFonts w:ascii="Calibri" w:hAnsi="Calibri" w:cs="Calibri"/>
          <w:i/>
          <w:iCs/>
          <w:sz w:val="22"/>
          <w:szCs w:val="22"/>
        </w:rPr>
        <w:t>udgøre</w:t>
      </w:r>
      <w:r w:rsidRPr="00293FA3">
        <w:rPr>
          <w:rFonts w:ascii="Calibri" w:hAnsi="Calibri" w:cs="Calibri"/>
          <w:sz w:val="22"/>
          <w:szCs w:val="22"/>
        </w:rPr>
        <w:t xml:space="preserve"> retssystemet.</w:t>
      </w:r>
    </w:p>
    <w:p w:rsidR="00293FA3" w:rsidRPr="00293FA3" w:rsidRDefault="00293FA3">
      <w:pPr>
        <w:rPr>
          <w:rFonts w:ascii="Calibri" w:hAnsi="Calibri" w:cs="Calibri"/>
          <w:sz w:val="22"/>
          <w:szCs w:val="22"/>
        </w:rPr>
      </w:pPr>
    </w:p>
    <w:p w:rsidR="00293FA3" w:rsidRPr="00293FA3" w:rsidRDefault="00293FA3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>For muslimer i vestlige lande er SHARIA også til diskussion. For traditionalister, modernister og sekularister ses det mest som et individuelt moralsk anliggende, mens fundamentalister og islamister typisk ser SHARIA som universelle retningslinjer.</w:t>
      </w: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293FA3" w:rsidRDefault="00293FA3">
      <w:pPr>
        <w:rPr>
          <w:rFonts w:ascii="Calibri" w:hAnsi="Calibri" w:cs="Calibri"/>
          <w:sz w:val="22"/>
          <w:szCs w:val="22"/>
        </w:rPr>
      </w:pPr>
    </w:p>
    <w:p w:rsidR="0095313D" w:rsidRPr="00293FA3" w:rsidRDefault="0095313D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>Kalifatet afløser ur-</w:t>
      </w:r>
      <w:r w:rsidR="007F7FEA" w:rsidRPr="00293FA3">
        <w:rPr>
          <w:rFonts w:ascii="Calibri" w:hAnsi="Calibri" w:cs="Calibri"/>
          <w:sz w:val="22"/>
          <w:szCs w:val="22"/>
        </w:rPr>
        <w:t>i</w:t>
      </w:r>
      <w:r w:rsidRPr="00293FA3">
        <w:rPr>
          <w:rFonts w:ascii="Calibri" w:hAnsi="Calibri" w:cs="Calibri"/>
          <w:sz w:val="22"/>
          <w:szCs w:val="22"/>
        </w:rPr>
        <w:t>slam</w:t>
      </w: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ab/>
      </w:r>
      <w:r w:rsidRPr="00293FA3">
        <w:rPr>
          <w:rFonts w:ascii="Calibri" w:hAnsi="Calibri" w:cs="Calibri"/>
          <w:sz w:val="22"/>
          <w:szCs w:val="22"/>
        </w:rPr>
        <w:sym w:font="Webdings" w:char="F036"/>
      </w:r>
    </w:p>
    <w:p w:rsidR="00293FA3" w:rsidRPr="00293FA3" w:rsidRDefault="00293FA3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ab/>
      </w:r>
      <w:r w:rsidRPr="00293FA3">
        <w:rPr>
          <w:rFonts w:ascii="Calibri" w:hAnsi="Calibri" w:cs="Calibri"/>
          <w:sz w:val="22"/>
          <w:szCs w:val="22"/>
        </w:rPr>
        <w:sym w:font="Webdings" w:char="F036"/>
      </w:r>
    </w:p>
    <w:p w:rsidR="00293FA3" w:rsidRPr="00293FA3" w:rsidRDefault="00293FA3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ab/>
      </w:r>
      <w:r w:rsidRPr="00293FA3">
        <w:rPr>
          <w:rFonts w:ascii="Calibri" w:hAnsi="Calibri" w:cs="Calibri"/>
          <w:sz w:val="22"/>
          <w:szCs w:val="22"/>
        </w:rPr>
        <w:sym w:font="Webdings" w:char="F036"/>
      </w:r>
    </w:p>
    <w:p w:rsidR="008134B2" w:rsidRPr="00293FA3" w:rsidRDefault="00813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>Ekspansion nødvendiggør en decentralisering af magt</w:t>
      </w:r>
    </w:p>
    <w:p w:rsidR="008134B2" w:rsidRPr="00293FA3" w:rsidRDefault="00E65013" w:rsidP="00E65013">
      <w:pPr>
        <w:ind w:firstLine="1304"/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sym w:font="Webdings" w:char="F036"/>
      </w:r>
    </w:p>
    <w:p w:rsidR="00293FA3" w:rsidRPr="00293FA3" w:rsidRDefault="008134B2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ab/>
      </w:r>
    </w:p>
    <w:p w:rsidR="008134B2" w:rsidRPr="00293FA3" w:rsidRDefault="008134B2" w:rsidP="00293FA3">
      <w:pPr>
        <w:ind w:firstLine="1304"/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sym w:font="Webdings" w:char="F036"/>
      </w:r>
    </w:p>
    <w:p w:rsidR="00293FA3" w:rsidRPr="00293FA3" w:rsidRDefault="00293FA3" w:rsidP="00293FA3">
      <w:pPr>
        <w:ind w:firstLine="1304"/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ab/>
      </w:r>
      <w:r w:rsidRPr="00293FA3">
        <w:rPr>
          <w:rFonts w:ascii="Calibri" w:hAnsi="Calibri" w:cs="Calibri"/>
          <w:sz w:val="22"/>
          <w:szCs w:val="22"/>
        </w:rPr>
        <w:sym w:font="Webdings" w:char="F036"/>
      </w:r>
    </w:p>
    <w:p w:rsidR="008134B2" w:rsidRPr="00293FA3" w:rsidRDefault="008134B2" w:rsidP="00E6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>Mangel på fælles retsgrundlag</w:t>
      </w: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ab/>
      </w:r>
      <w:r w:rsidRPr="00293FA3">
        <w:rPr>
          <w:rFonts w:ascii="Calibri" w:hAnsi="Calibri" w:cs="Calibri"/>
          <w:sz w:val="22"/>
          <w:szCs w:val="22"/>
        </w:rPr>
        <w:sym w:font="Webdings" w:char="F036"/>
      </w:r>
    </w:p>
    <w:p w:rsidR="00293FA3" w:rsidRPr="00293FA3" w:rsidRDefault="00293FA3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ab/>
      </w:r>
      <w:r w:rsidRPr="00293FA3">
        <w:rPr>
          <w:rFonts w:ascii="Calibri" w:hAnsi="Calibri" w:cs="Calibri"/>
          <w:sz w:val="22"/>
          <w:szCs w:val="22"/>
        </w:rPr>
        <w:sym w:font="Webdings" w:char="F036"/>
      </w:r>
    </w:p>
    <w:p w:rsidR="00293FA3" w:rsidRPr="00293FA3" w:rsidRDefault="00293FA3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ab/>
      </w:r>
      <w:r w:rsidRPr="00293FA3">
        <w:rPr>
          <w:rFonts w:ascii="Calibri" w:hAnsi="Calibri" w:cs="Calibri"/>
          <w:sz w:val="22"/>
          <w:szCs w:val="22"/>
        </w:rPr>
        <w:sym w:font="Webdings" w:char="F036"/>
      </w: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>Koran</w:t>
      </w:r>
    </w:p>
    <w:p w:rsidR="008134B2" w:rsidRPr="00293FA3" w:rsidRDefault="008134B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>Sunna</w:t>
      </w:r>
      <w:r w:rsidR="007F7FEA" w:rsidRPr="00293FA3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7F7FEA" w:rsidRPr="00293FA3">
        <w:rPr>
          <w:rFonts w:ascii="Calibri" w:hAnsi="Calibri" w:cs="Calibri"/>
          <w:sz w:val="22"/>
          <w:szCs w:val="22"/>
        </w:rPr>
        <w:t>Hadith</w:t>
      </w:r>
      <w:proofErr w:type="spellEnd"/>
      <w:r w:rsidR="007F7FEA" w:rsidRPr="00293FA3">
        <w:rPr>
          <w:rFonts w:ascii="Calibri" w:hAnsi="Calibri" w:cs="Calibri"/>
          <w:sz w:val="22"/>
          <w:szCs w:val="22"/>
        </w:rPr>
        <w:t>)</w:t>
      </w:r>
    </w:p>
    <w:p w:rsidR="008134B2" w:rsidRPr="00293FA3" w:rsidRDefault="008134B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>Analogi</w:t>
      </w:r>
    </w:p>
    <w:p w:rsidR="008134B2" w:rsidRPr="00293FA3" w:rsidRDefault="008134B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>Enighed</w:t>
      </w:r>
      <w:r w:rsidR="007F7FEA" w:rsidRPr="00293FA3">
        <w:rPr>
          <w:rFonts w:ascii="Calibri" w:hAnsi="Calibri" w:cs="Calibri"/>
          <w:sz w:val="22"/>
          <w:szCs w:val="22"/>
        </w:rPr>
        <w:t xml:space="preserve"> / konsensus</w:t>
      </w:r>
    </w:p>
    <w:p w:rsidR="008134B2" w:rsidRPr="00293FA3" w:rsidRDefault="009531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65.1pt;margin-top:-19.2pt;width:10.9pt;height:67.25pt;rotation:-90;z-index:1"/>
        </w:pict>
      </w: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293FA3" w:rsidP="00293FA3">
      <w:pPr>
        <w:ind w:left="360" w:firstLine="360"/>
        <w:rPr>
          <w:rFonts w:ascii="Calibri" w:hAnsi="Calibri" w:cs="Calibri"/>
          <w:b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 xml:space="preserve"> </w:t>
      </w:r>
      <w:r w:rsidR="00E65013" w:rsidRPr="00293FA3">
        <w:rPr>
          <w:rFonts w:ascii="Calibri" w:hAnsi="Calibri" w:cs="Calibri"/>
          <w:b/>
          <w:sz w:val="22"/>
          <w:szCs w:val="22"/>
        </w:rPr>
        <w:t>FORTOLKNING</w:t>
      </w: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 xml:space="preserve">Uenighed: </w:t>
      </w:r>
    </w:p>
    <w:p w:rsidR="008134B2" w:rsidRPr="00293FA3" w:rsidRDefault="00813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293FA3">
        <w:rPr>
          <w:rFonts w:ascii="Calibri" w:hAnsi="Calibri" w:cs="Calibri"/>
          <w:sz w:val="22"/>
          <w:szCs w:val="22"/>
        </w:rPr>
        <w:t>Er ”fortolkningens dør” lukket eller stadig åben?</w:t>
      </w:r>
    </w:p>
    <w:p w:rsidR="008134B2" w:rsidRPr="00293FA3" w:rsidRDefault="008134B2">
      <w:pPr>
        <w:rPr>
          <w:rFonts w:ascii="Calibri" w:hAnsi="Calibri" w:cs="Calibri"/>
          <w:sz w:val="22"/>
          <w:szCs w:val="22"/>
        </w:rPr>
      </w:pPr>
    </w:p>
    <w:p w:rsidR="008134B2" w:rsidRPr="00293FA3" w:rsidRDefault="008134B2" w:rsidP="00293F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293FA3">
        <w:rPr>
          <w:rFonts w:ascii="Calibri" w:hAnsi="Calibri" w:cs="Calibri"/>
          <w:sz w:val="22"/>
        </w:rPr>
        <w:t>Uenighed:</w:t>
      </w:r>
    </w:p>
    <w:p w:rsidR="008134B2" w:rsidRPr="00293FA3" w:rsidRDefault="008134B2" w:rsidP="00293F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293FA3">
        <w:rPr>
          <w:rFonts w:ascii="Calibri" w:hAnsi="Calibri" w:cs="Calibri"/>
          <w:sz w:val="22"/>
        </w:rPr>
        <w:t>Skal statens love basere sig på andet end SHARIA?</w:t>
      </w:r>
    </w:p>
    <w:p w:rsidR="00293FA3" w:rsidRDefault="00293FA3" w:rsidP="00293FA3"/>
    <w:p w:rsidR="00293FA3" w:rsidRPr="00293FA3" w:rsidRDefault="00293FA3" w:rsidP="00293F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293FA3">
        <w:rPr>
          <w:rFonts w:ascii="Calibri" w:hAnsi="Calibri" w:cs="Calibri"/>
          <w:sz w:val="22"/>
        </w:rPr>
        <w:t>Uenighed:</w:t>
      </w:r>
    </w:p>
    <w:p w:rsidR="008134B2" w:rsidRDefault="00293FA3" w:rsidP="00293F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sz w:val="22"/>
        </w:rPr>
        <w:t>Er</w:t>
      </w:r>
      <w:r w:rsidRPr="00293FA3">
        <w:rPr>
          <w:rFonts w:ascii="Calibri" w:hAnsi="Calibri" w:cs="Calibri"/>
          <w:sz w:val="22"/>
        </w:rPr>
        <w:t xml:space="preserve"> SHARIA</w:t>
      </w:r>
      <w:r>
        <w:rPr>
          <w:rFonts w:ascii="Calibri" w:hAnsi="Calibri" w:cs="Calibri"/>
          <w:sz w:val="22"/>
        </w:rPr>
        <w:t xml:space="preserve"> et privat moralsk anliggende eller universelle retningslinjer</w:t>
      </w:r>
      <w:r w:rsidRPr="00293FA3">
        <w:rPr>
          <w:rFonts w:ascii="Calibri" w:hAnsi="Calibri" w:cs="Calibri"/>
          <w:sz w:val="22"/>
        </w:rPr>
        <w:t>?</w:t>
      </w:r>
    </w:p>
    <w:sectPr w:rsidR="008134B2" w:rsidSect="0095313D">
      <w:pgSz w:w="11906" w:h="16838"/>
      <w:pgMar w:top="1418" w:right="1134" w:bottom="1701" w:left="1134" w:header="709" w:footer="709" w:gutter="0"/>
      <w:cols w:num="2" w:space="708" w:equalWidth="0">
        <w:col w:w="6188" w:space="708"/>
        <w:col w:w="2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E141E"/>
    <w:multiLevelType w:val="hybridMultilevel"/>
    <w:tmpl w:val="2ECE0344"/>
    <w:lvl w:ilvl="0" w:tplc="B74688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330D"/>
    <w:multiLevelType w:val="hybridMultilevel"/>
    <w:tmpl w:val="7C647D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9F4"/>
    <w:rsid w:val="00156E7F"/>
    <w:rsid w:val="00293FA3"/>
    <w:rsid w:val="003D72CA"/>
    <w:rsid w:val="004369F4"/>
    <w:rsid w:val="007F7FEA"/>
    <w:rsid w:val="008134B2"/>
    <w:rsid w:val="0095313D"/>
    <w:rsid w:val="00B34AC2"/>
    <w:rsid w:val="00E65013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B817DA7"/>
  <w15:chartTrackingRefBased/>
  <w15:docId w15:val="{A2EAB948-E476-4B74-A88A-C10249BB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361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Sharia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Sharia</dc:title>
  <dc:subject/>
  <dc:creator>Anders Nielstrup</dc:creator>
  <cp:keywords/>
  <dc:description/>
  <cp:lastModifiedBy>Christina Egholm</cp:lastModifiedBy>
  <cp:revision>6</cp:revision>
  <cp:lastPrinted>2002-09-20T15:16:00Z</cp:lastPrinted>
  <dcterms:created xsi:type="dcterms:W3CDTF">2016-11-07T17:57:00Z</dcterms:created>
  <dcterms:modified xsi:type="dcterms:W3CDTF">2017-12-18T06:30:00Z</dcterms:modified>
</cp:coreProperties>
</file>