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72C65" w14:textId="77777777" w:rsidR="0051622A" w:rsidRDefault="00F14DE3">
      <w:pPr>
        <w:rPr>
          <w:b/>
        </w:rPr>
      </w:pPr>
      <w:bookmarkStart w:id="0" w:name="_GoBack"/>
      <w:bookmarkEnd w:id="0"/>
      <w:r>
        <w:rPr>
          <w:b/>
        </w:rPr>
        <w:t>Sætning</w:t>
      </w:r>
    </w:p>
    <w:p w14:paraId="592EFEE6" w14:textId="77777777" w:rsidR="00F14DE3" w:rsidRDefault="00F14DE3">
      <w:r>
        <w:t>En andengradsligning på formen</w:t>
      </w:r>
    </w:p>
    <w:p w14:paraId="7AF5A015" w14:textId="77777777" w:rsidR="00F14DE3" w:rsidRPr="00F14DE3" w:rsidRDefault="00F14DE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+bx+c=0,   a≠0</m:t>
          </m:r>
        </m:oMath>
      </m:oMathPara>
    </w:p>
    <w:p w14:paraId="3C0B405D" w14:textId="77777777" w:rsidR="00F14DE3" w:rsidRDefault="00F14DE3" w:rsidP="00F14DE3">
      <w:pPr>
        <w:rPr>
          <w:rFonts w:eastAsiaTheme="minorEastAsia"/>
        </w:rPr>
      </w:pPr>
      <w:r>
        <w:t xml:space="preserve">Har følgende løsninger hvis </w:t>
      </w:r>
      <m:oMath>
        <m:r>
          <w:rPr>
            <w:rFonts w:ascii="Cambria Math" w:hAnsi="Cambria Math"/>
          </w:rPr>
          <m:t>d≥0</m:t>
        </m:r>
      </m:oMath>
    </w:p>
    <w:p w14:paraId="16B0F7A5" w14:textId="77777777" w:rsidR="00F14DE3" w:rsidRPr="00F14DE3" w:rsidRDefault="00F14DE3" w:rsidP="00F14DE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1E192FD6" w14:textId="77777777" w:rsidR="00F14DE3" w:rsidRDefault="00F14DE3" w:rsidP="00F14DE3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d&lt;0</m:t>
        </m:r>
      </m:oMath>
      <w:r>
        <w:rPr>
          <w:rFonts w:eastAsiaTheme="minorEastAsia"/>
        </w:rPr>
        <w:t xml:space="preserve"> er der ingen løsninger. </w:t>
      </w:r>
    </w:p>
    <w:p w14:paraId="474CF5BD" w14:textId="77777777" w:rsidR="00F14DE3" w:rsidRDefault="00F14DE3" w:rsidP="00F14DE3">
      <w:pPr>
        <w:rPr>
          <w:rFonts w:eastAsiaTheme="minorEastAsia"/>
        </w:rPr>
      </w:pPr>
      <w:r>
        <w:t xml:space="preserve">I denne sammenhæng er </w:t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  <w:r>
        <w:rPr>
          <w:rFonts w:eastAsiaTheme="minorEastAsia"/>
        </w:rPr>
        <w:t>.</w:t>
      </w:r>
    </w:p>
    <w:p w14:paraId="6E7C3B0F" w14:textId="77777777" w:rsidR="00F14DE3" w:rsidRDefault="00F14DE3" w:rsidP="00F14DE3"/>
    <w:p w14:paraId="2EF2A1C4" w14:textId="77777777" w:rsidR="00C8233E" w:rsidRDefault="00C8233E" w:rsidP="00F14DE3">
      <w:pPr>
        <w:rPr>
          <w:b/>
        </w:rPr>
      </w:pPr>
      <w:r>
        <w:rPr>
          <w:b/>
        </w:rPr>
        <w:t>Værktøjskasse</w:t>
      </w:r>
    </w:p>
    <w:p w14:paraId="2D34A4A9" w14:textId="61A4E50F" w:rsidR="00C8233E" w:rsidRDefault="00C8233E" w:rsidP="00C8233E">
      <w:r>
        <w:t>Inden vi går i gang skal vi lige have lavet os en enk</w:t>
      </w:r>
      <w:r w:rsidR="00832343">
        <w:t>elt</w:t>
      </w:r>
      <w:r>
        <w:t xml:space="preserve"> ting</w:t>
      </w:r>
      <w:r w:rsidR="00832343">
        <w:t xml:space="preserve"> eller to</w:t>
      </w:r>
      <w:r>
        <w:t xml:space="preserve"> til værktøjskassen:</w:t>
      </w:r>
    </w:p>
    <w:p w14:paraId="44F30B59" w14:textId="33F4A6CF" w:rsidR="00325E47" w:rsidRDefault="00832343" w:rsidP="00C8233E">
      <w:r>
        <w:t xml:space="preserve">1:  </w:t>
      </w:r>
      <w:r w:rsidR="00325E47">
        <w:t>Udregn vha. kvadratsætningen</w:t>
      </w:r>
    </w:p>
    <w:p w14:paraId="2207BDC9" w14:textId="0322C23A" w:rsidR="00325E47" w:rsidRPr="00325E47" w:rsidRDefault="004712C7" w:rsidP="00C8233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2ax+b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781E763" w14:textId="45995A2B" w:rsidR="00325E47" w:rsidRPr="00C8233E" w:rsidRDefault="00325E47" w:rsidP="00C8233E">
      <w:r>
        <w:t>Facit:</w:t>
      </w:r>
      <w:r w:rsidRPr="00325E47">
        <w:rPr>
          <w:sz w:val="4"/>
          <w:szCs w:val="4"/>
        </w:rPr>
        <w:t xml:space="preserve"> </w:t>
      </w:r>
      <m:oMath>
        <m:r>
          <w:rPr>
            <w:rFonts w:ascii="Cambria Math" w:hAnsi="Cambria Math"/>
            <w:sz w:val="4"/>
            <w:szCs w:val="4"/>
          </w:rPr>
          <m:t>4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a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2</m:t>
            </m:r>
          </m:sup>
        </m:sSup>
        <m:r>
          <w:rPr>
            <w:rFonts w:ascii="Cambria Math" w:hAnsi="Cambria Math"/>
            <w:sz w:val="4"/>
            <w:szCs w:val="4"/>
          </w:rPr>
          <m:t>+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b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2</m:t>
            </m:r>
          </m:sup>
        </m:sSup>
        <m:r>
          <w:rPr>
            <w:rFonts w:ascii="Cambria Math" w:hAnsi="Cambria Math"/>
            <w:sz w:val="4"/>
            <w:szCs w:val="4"/>
          </w:rPr>
          <m:t>+4abx</m:t>
        </m:r>
      </m:oMath>
    </w:p>
    <w:p w14:paraId="579DB3AC" w14:textId="07F31E9B" w:rsidR="00C8233E" w:rsidRDefault="00832343" w:rsidP="00F14DE3">
      <w:r>
        <w:t xml:space="preserve">2: Her skal vi ikke så meget regne, som vi bare skal huske på 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>
        <w:rPr>
          <w:rFonts w:eastAsiaTheme="minorEastAsia"/>
        </w:rPr>
        <w:t xml:space="preserve"> så 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 så er </w:t>
      </w:r>
      <m:oMath>
        <m:r>
          <w:rPr>
            <w:rFonts w:ascii="Cambria Math" w:eastAsiaTheme="minorEastAsia" w:hAnsi="Cambria Math"/>
          </w:rPr>
          <m:t>x=2</m:t>
        </m:r>
      </m:oMath>
      <w:r>
        <w:rPr>
          <w:rFonts w:eastAsiaTheme="minorEastAsia"/>
        </w:rPr>
        <w:t xml:space="preserve"> ELLER </w:t>
      </w:r>
      <m:oMath>
        <m:r>
          <w:rPr>
            <w:rFonts w:ascii="Cambria Math" w:eastAsiaTheme="minorEastAsia" w:hAnsi="Cambria Math"/>
          </w:rPr>
          <m:t>x=-2.</m:t>
        </m:r>
      </m:oMath>
    </w:p>
    <w:p w14:paraId="11875E09" w14:textId="77777777" w:rsidR="00832343" w:rsidRPr="00C8233E" w:rsidRDefault="00832343" w:rsidP="00F14DE3"/>
    <w:p w14:paraId="5802A3E0" w14:textId="77777777" w:rsidR="00F14DE3" w:rsidRDefault="00F14DE3" w:rsidP="00F14DE3">
      <w:pPr>
        <w:rPr>
          <w:b/>
        </w:rPr>
      </w:pPr>
      <w:r>
        <w:rPr>
          <w:b/>
        </w:rPr>
        <w:t>Bevis</w:t>
      </w:r>
    </w:p>
    <w:p w14:paraId="7855B2C5" w14:textId="77777777" w:rsidR="00F14DE3" w:rsidRDefault="00F14DE3" w:rsidP="00F14DE3">
      <w:r>
        <w:t>Vi tager udgangspunkt i ligningen</w:t>
      </w:r>
    </w:p>
    <w:p w14:paraId="0AB82D13" w14:textId="77777777" w:rsidR="00F14DE3" w:rsidRPr="00F14DE3" w:rsidRDefault="00F14DE3" w:rsidP="00F14DE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+bx+c=0</m:t>
          </m:r>
        </m:oMath>
      </m:oMathPara>
    </w:p>
    <w:p w14:paraId="56A5EEF8" w14:textId="77777777" w:rsidR="00F14DE3" w:rsidRDefault="00F14DE3" w:rsidP="00F14DE3">
      <w:pPr>
        <w:rPr>
          <w:rFonts w:eastAsiaTheme="minorEastAsia"/>
        </w:rPr>
      </w:pPr>
      <w:r>
        <w:t xml:space="preserve">Og vil så forsøge at isolere </w:t>
      </w:r>
      <m:oMath>
        <m:r>
          <w:rPr>
            <w:rFonts w:ascii="Cambria Math" w:hAnsi="Cambria Math"/>
          </w:rPr>
          <m:t>x.</m:t>
        </m:r>
      </m:oMath>
    </w:p>
    <w:p w14:paraId="36CD7B5B" w14:textId="77777777" w:rsidR="00F14DE3" w:rsidRDefault="00F14DE3" w:rsidP="00F14DE3">
      <w:r>
        <w:t>Det er dog imidlertid ikke helt så simpelt, som det plejer at være, så følg disse trin:</w:t>
      </w:r>
    </w:p>
    <w:p w14:paraId="0402350B" w14:textId="2568B353" w:rsidR="00F14DE3" w:rsidRDefault="00C8233E" w:rsidP="00F14DE3">
      <w:pPr>
        <w:pStyle w:val="Listeafsnit"/>
        <w:numPr>
          <w:ilvl w:val="0"/>
          <w:numId w:val="2"/>
        </w:numPr>
      </w:pPr>
      <w:r>
        <w:t xml:space="preserve">Gang med </w:t>
      </w:r>
      <m:oMath>
        <m:r>
          <w:rPr>
            <w:rFonts w:ascii="Cambria Math" w:hAnsi="Cambria Math"/>
          </w:rPr>
          <m:t>4a</m:t>
        </m:r>
      </m:oMath>
      <w:r>
        <w:t xml:space="preserve"> på begge sider (husk at det skal ganges på i alle led). Spørg ikke dig selv hvorfor, man gør det, det er udelukkende fordi det viser sig at være en god ide.</w:t>
      </w:r>
    </w:p>
    <w:p w14:paraId="63B99872" w14:textId="70E38FB6" w:rsidR="00C8233E" w:rsidRPr="007D2F8C" w:rsidRDefault="00C8233E" w:rsidP="00F14DE3">
      <w:pPr>
        <w:pStyle w:val="Listeafsnit"/>
        <w:numPr>
          <w:ilvl w:val="0"/>
          <w:numId w:val="2"/>
        </w:numPr>
      </w:pPr>
      <w:r>
        <w:t xml:space="preserve">Læg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til på begge sider (vi kan se der er noget, der begynder at ligne en diskriminant)</w:t>
      </w:r>
      <w:r w:rsidR="007D2F8C">
        <w:rPr>
          <w:rFonts w:eastAsiaTheme="minorEastAsia"/>
        </w:rPr>
        <w:t>.</w:t>
      </w:r>
    </w:p>
    <w:p w14:paraId="650D284F" w14:textId="72BD73FC" w:rsidR="007D2F8C" w:rsidRPr="007D2F8C" w:rsidRDefault="007D2F8C" w:rsidP="00F14DE3">
      <w:pPr>
        <w:pStyle w:val="Listeafsnit"/>
        <w:numPr>
          <w:ilvl w:val="0"/>
          <w:numId w:val="2"/>
        </w:numPr>
      </w:pPr>
      <w:r>
        <w:t xml:space="preserve">Træk </w:t>
      </w:r>
      <m:oMath>
        <m:r>
          <w:rPr>
            <w:rFonts w:ascii="Cambria Math" w:hAnsi="Cambria Math"/>
          </w:rPr>
          <m:t>4ac</m:t>
        </m:r>
      </m:oMath>
      <w:r>
        <w:rPr>
          <w:rFonts w:eastAsiaTheme="minorEastAsia"/>
        </w:rPr>
        <w:t xml:space="preserve"> fra på begge sider (nu er der virkelig noget, der begynder at ligne en diskriminant)</w:t>
      </w:r>
    </w:p>
    <w:p w14:paraId="78FB92C2" w14:textId="5298C16E" w:rsidR="007D2F8C" w:rsidRPr="007D2F8C" w:rsidRDefault="007D2F8C" w:rsidP="007D2F8C">
      <w:pPr>
        <w:pStyle w:val="Listeafsnit"/>
        <w:numPr>
          <w:ilvl w:val="0"/>
          <w:numId w:val="2"/>
        </w:numPr>
      </w:pPr>
      <w:r>
        <w:t xml:space="preserve">Erstat med </w:t>
      </w:r>
      <m:oMath>
        <m:r>
          <w:rPr>
            <w:rFonts w:ascii="Cambria Math" w:hAnsi="Cambria Math"/>
          </w:rPr>
          <m:t>d</m:t>
        </m:r>
      </m:oMath>
      <w:r>
        <w:rPr>
          <w:rFonts w:eastAsiaTheme="minorEastAsia"/>
        </w:rPr>
        <w:t xml:space="preserve"> på den side hvor diskriminanten står.</w:t>
      </w:r>
    </w:p>
    <w:p w14:paraId="49417BCB" w14:textId="3D3BD2A8" w:rsidR="007D2F8C" w:rsidRPr="00832343" w:rsidRDefault="007D2F8C" w:rsidP="007D2F8C">
      <w:pPr>
        <w:pStyle w:val="Listeafsnit"/>
        <w:numPr>
          <w:ilvl w:val="0"/>
          <w:numId w:val="2"/>
        </w:numPr>
      </w:pPr>
      <w:r>
        <w:t>Brug værktøjskassen</w:t>
      </w:r>
      <w:r w:rsidR="00832343">
        <w:t xml:space="preserve"> 1</w:t>
      </w:r>
      <w:r>
        <w:t xml:space="preserve"> på den side hvor der ikke står </w:t>
      </w:r>
      <m:oMath>
        <m:r>
          <w:rPr>
            <w:rFonts w:ascii="Cambria Math" w:hAnsi="Cambria Math"/>
          </w:rPr>
          <m:t>d</m:t>
        </m:r>
      </m:oMath>
      <w:r w:rsidR="00832343">
        <w:rPr>
          <w:rFonts w:eastAsiaTheme="minorEastAsia"/>
        </w:rPr>
        <w:t>.</w:t>
      </w:r>
    </w:p>
    <w:p w14:paraId="516D0409" w14:textId="6474435E" w:rsidR="00832343" w:rsidRPr="00832343" w:rsidRDefault="00832343" w:rsidP="007D2F8C">
      <w:pPr>
        <w:pStyle w:val="Listeafsnit"/>
        <w:numPr>
          <w:ilvl w:val="0"/>
          <w:numId w:val="2"/>
        </w:numPr>
      </w:pPr>
      <w:r>
        <w:t xml:space="preserve">Forklar hvorfor det viser at der ikke er nogen løsninger hvis </w:t>
      </w:r>
      <m:oMath>
        <m:r>
          <w:rPr>
            <w:rFonts w:ascii="Cambria Math" w:hAnsi="Cambria Math"/>
          </w:rPr>
          <m:t>d&lt;0</m:t>
        </m:r>
      </m:oMath>
    </w:p>
    <w:p w14:paraId="5B4962B6" w14:textId="38D31E28" w:rsidR="00832343" w:rsidRDefault="00832343" w:rsidP="007D2F8C">
      <w:pPr>
        <w:pStyle w:val="Listeafsnit"/>
        <w:numPr>
          <w:ilvl w:val="0"/>
          <w:numId w:val="2"/>
        </w:numPr>
      </w:pPr>
      <w:r>
        <w:t>Tag kvadratrod på begge sider</w:t>
      </w:r>
      <w:r w:rsidR="002F547F">
        <w:t xml:space="preserve"> (husk værktøjskassen 2).</w:t>
      </w:r>
    </w:p>
    <w:p w14:paraId="1638B203" w14:textId="733C0C03" w:rsidR="002F547F" w:rsidRPr="00F14DE3" w:rsidRDefault="002F547F" w:rsidP="007D2F8C">
      <w:pPr>
        <w:pStyle w:val="Listeafsnit"/>
        <w:numPr>
          <w:ilvl w:val="0"/>
          <w:numId w:val="2"/>
        </w:numPr>
      </w:pPr>
      <w:r>
        <w:t xml:space="preserve">isolér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</w:p>
    <w:sectPr w:rsidR="002F547F" w:rsidRPr="00F14D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78AC"/>
    <w:multiLevelType w:val="hybridMultilevel"/>
    <w:tmpl w:val="952091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0568"/>
    <w:multiLevelType w:val="hybridMultilevel"/>
    <w:tmpl w:val="4F04A0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E3"/>
    <w:rsid w:val="002F547F"/>
    <w:rsid w:val="00325E47"/>
    <w:rsid w:val="004712C7"/>
    <w:rsid w:val="0051622A"/>
    <w:rsid w:val="007D2F8C"/>
    <w:rsid w:val="00832343"/>
    <w:rsid w:val="00AE0C91"/>
    <w:rsid w:val="00C8233E"/>
    <w:rsid w:val="00E812BF"/>
    <w:rsid w:val="00F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BE93"/>
  <w15:chartTrackingRefBased/>
  <w15:docId w15:val="{B0CC032A-D6C7-44E0-AFC8-B07D1B54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14DE3"/>
    <w:rPr>
      <w:color w:val="808080"/>
    </w:rPr>
  </w:style>
  <w:style w:type="paragraph" w:styleId="Listeafsnit">
    <w:name w:val="List Paragraph"/>
    <w:basedOn w:val="Normal"/>
    <w:uiPriority w:val="34"/>
    <w:qFormat/>
    <w:rsid w:val="00F1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DC78D-BF45-4FC2-B812-FEAB95905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67EC6-F776-45C0-BDF7-3404B3378303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7711f314-a9bf-4d6d-889f-839f395c35c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8048da4-0f4e-4fd2-a16b-8918f532394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C4FFB7-6B10-4A02-8201-9216A5422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2</cp:revision>
  <dcterms:created xsi:type="dcterms:W3CDTF">2022-12-19T05:41:00Z</dcterms:created>
  <dcterms:modified xsi:type="dcterms:W3CDTF">2022-12-19T05:41:00Z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