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DACA6" w14:textId="77777777" w:rsidR="00876FB2" w:rsidRPr="00876FB2" w:rsidRDefault="00876FB2" w:rsidP="00876FB2">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rPr>
      </w:pPr>
      <w:r w:rsidRPr="00876FB2">
        <w:rPr>
          <w:rFonts w:ascii="AUPassataBold" w:eastAsia="Times New Roman" w:hAnsi="AUPassataBold" w:cs="Times New Roman"/>
          <w:color w:val="0A0A0A"/>
          <w:kern w:val="36"/>
          <w:sz w:val="48"/>
          <w:szCs w:val="48"/>
          <w:lang w:eastAsia="da-DK"/>
        </w:rPr>
        <w:t>Sædelighedsfejden 1883-1887</w:t>
      </w:r>
    </w:p>
    <w:p w14:paraId="3185497A" w14:textId="77777777" w:rsidR="00876FB2" w:rsidRDefault="00876FB2" w:rsidP="00876FB2">
      <w:pPr>
        <w:rPr>
          <w:i/>
          <w:sz w:val="24"/>
        </w:rPr>
      </w:pPr>
    </w:p>
    <w:p w14:paraId="616099BF" w14:textId="6C8A89FA" w:rsidR="00637FB8" w:rsidRDefault="00876FB2" w:rsidP="00876FB2">
      <w:pPr>
        <w:rPr>
          <w:i/>
          <w:sz w:val="24"/>
        </w:rPr>
      </w:pPr>
      <w:r w:rsidRPr="00876FB2">
        <w:rPr>
          <w:i/>
          <w:sz w:val="24"/>
        </w:rPr>
        <w:t xml:space="preserve">Sædelighedsfejden var en offentlig debat om samfundets seksualmoral, der foregik 1883-1887. </w:t>
      </w:r>
      <w:bookmarkStart w:id="0" w:name="_GoBack"/>
      <w:bookmarkEnd w:id="0"/>
      <w:r w:rsidRPr="00876FB2">
        <w:rPr>
          <w:i/>
          <w:sz w:val="24"/>
        </w:rPr>
        <w:t xml:space="preserve">Kritiske røster begyndte at pege på det problematiske i, at der gjaldt vidt forskellige normer for, hvordan mænd og kvinder måtte opføre sig seksuelt. Den årelange diskussion, der er blevet kendt som </w:t>
      </w:r>
      <w:r w:rsidRPr="00B467FF">
        <w:rPr>
          <w:b/>
          <w:i/>
          <w:sz w:val="24"/>
        </w:rPr>
        <w:t>Sædelighedsfejden</w:t>
      </w:r>
      <w:r w:rsidRPr="00876FB2">
        <w:rPr>
          <w:i/>
          <w:sz w:val="24"/>
        </w:rPr>
        <w:t>, var den første behandling af seksualmoralen i det offentlige rum</w:t>
      </w:r>
      <w:r w:rsidR="00F42815">
        <w:rPr>
          <w:i/>
          <w:sz w:val="24"/>
        </w:rPr>
        <w:t>.</w:t>
      </w:r>
    </w:p>
    <w:p w14:paraId="51F718B7" w14:textId="77777777" w:rsidR="00876FB2" w:rsidRPr="00876FB2" w:rsidRDefault="00876FB2" w:rsidP="00876FB2">
      <w:pPr>
        <w:rPr>
          <w:rFonts w:ascii="Georgia" w:hAnsi="Georgia"/>
          <w:b/>
          <w:sz w:val="24"/>
        </w:rPr>
      </w:pPr>
      <w:r w:rsidRPr="00876FB2">
        <w:rPr>
          <w:rFonts w:ascii="Georgia" w:hAnsi="Georgia"/>
          <w:b/>
          <w:sz w:val="24"/>
        </w:rPr>
        <w:t>Den seksuelle dobbeltmoral</w:t>
      </w:r>
    </w:p>
    <w:p w14:paraId="0F7C06A4" w14:textId="77777777" w:rsidR="00876FB2" w:rsidRDefault="00876FB2" w:rsidP="00876FB2">
      <w:pPr>
        <w:rPr>
          <w:sz w:val="24"/>
        </w:rPr>
      </w:pPr>
      <w:r w:rsidRPr="00876FB2">
        <w:rPr>
          <w:sz w:val="24"/>
        </w:rPr>
        <w:t xml:space="preserve">I 1800-tallet var samfundets normer for, hvordan man levede </w:t>
      </w:r>
      <w:r w:rsidRPr="007744AC">
        <w:rPr>
          <w:b/>
          <w:sz w:val="24"/>
        </w:rPr>
        <w:t>sædeligt</w:t>
      </w:r>
      <w:r w:rsidRPr="00876FB2">
        <w:rPr>
          <w:sz w:val="24"/>
        </w:rPr>
        <w:t xml:space="preserve"> - dvs. </w:t>
      </w:r>
      <w:proofErr w:type="spellStart"/>
      <w:r w:rsidRPr="00876FB2">
        <w:rPr>
          <w:sz w:val="24"/>
        </w:rPr>
        <w:t>seksualmoralsk</w:t>
      </w:r>
      <w:proofErr w:type="spellEnd"/>
      <w:r w:rsidRPr="00876FB2">
        <w:rPr>
          <w:sz w:val="24"/>
        </w:rPr>
        <w:t xml:space="preserve"> acceptabelt - i princippet de samme for begge køn. Med udgangspunkt i Bibelens sjette bud om ikke at bedrive hor foreskrev loven, at sex kun hørte til inden for ægteskabet. Seksuelle forhold før indgåelse af ægteskab eller uden for ægteskabet var ifølge loven strafbare for begge køn. I praksis var det dog noget andet. Her så man ofte igennem fingre med, når mænd havde sex før ægteskabet eller gik til prostituerede. For kvinderne gjaldt andre standarder, idet der stadig var en udtalt forventning om, at kvinder var kyske og vogtede deres dyd indtil ægteskabet. Uligheden mellem kønnene på det seksualmoralske område spejlede den generelle ulighed i samfundet, hvor det i århundreder havde været normen, at kvinder på stort set alle områder var ringere stillet end mænd.</w:t>
      </w:r>
    </w:p>
    <w:p w14:paraId="2417731C" w14:textId="77777777" w:rsidR="00876FB2" w:rsidRDefault="00876FB2" w:rsidP="00876FB2">
      <w:pPr>
        <w:rPr>
          <w:rFonts w:ascii="Georgia" w:hAnsi="Georgia"/>
          <w:b/>
          <w:bCs/>
          <w:color w:val="0A0A0A"/>
          <w:sz w:val="24"/>
          <w:szCs w:val="21"/>
          <w:shd w:val="clear" w:color="auto" w:fill="FEFEFE"/>
        </w:rPr>
      </w:pPr>
      <w:r w:rsidRPr="00876FB2">
        <w:rPr>
          <w:rFonts w:ascii="Georgia" w:hAnsi="Georgia"/>
          <w:b/>
          <w:bCs/>
          <w:color w:val="0A0A0A"/>
          <w:sz w:val="24"/>
          <w:szCs w:val="21"/>
          <w:shd w:val="clear" w:color="auto" w:fill="FEFEFE"/>
        </w:rPr>
        <w:t>Handskemoralen og det sædelige lighedskrav</w:t>
      </w:r>
    </w:p>
    <w:p w14:paraId="32A7AF1F" w14:textId="77777777" w:rsidR="00876FB2" w:rsidRPr="00876FB2" w:rsidRDefault="00876FB2" w:rsidP="00876FB2">
      <w:pPr>
        <w:rPr>
          <w:sz w:val="24"/>
        </w:rPr>
      </w:pPr>
      <w:r w:rsidRPr="00876FB2">
        <w:rPr>
          <w:sz w:val="24"/>
        </w:rPr>
        <w:t>Den seksuelle dobbeltmoral var ikke ny, men nyt var det, at den fra slutningen af 1800-tallet blev diskuteret i offentligheden. I 1883 kom kønsmoralen på den offentlige dagsorden, da den norske forfatter Bjørnstjerne Bjørnson (1832-1910) udgav teaterstykket </w:t>
      </w:r>
      <w:r w:rsidRPr="00876FB2">
        <w:rPr>
          <w:i/>
          <w:iCs/>
          <w:sz w:val="24"/>
        </w:rPr>
        <w:t xml:space="preserve">En </w:t>
      </w:r>
      <w:proofErr w:type="spellStart"/>
      <w:r w:rsidRPr="00876FB2">
        <w:rPr>
          <w:i/>
          <w:iCs/>
          <w:sz w:val="24"/>
        </w:rPr>
        <w:t>Hanske</w:t>
      </w:r>
      <w:proofErr w:type="spellEnd"/>
      <w:r w:rsidRPr="00876FB2">
        <w:rPr>
          <w:i/>
          <w:iCs/>
          <w:sz w:val="24"/>
        </w:rPr>
        <w:t>. </w:t>
      </w:r>
      <w:r w:rsidRPr="00876FB2">
        <w:rPr>
          <w:sz w:val="24"/>
        </w:rPr>
        <w:t xml:space="preserve">I stykket fremførte Bjørnson en løsning på den seksuelle dobbeltmoral: Den almindelige usædelighed, der allerede herskede i samfundet, skulle ikke tolereres. Tværtimod måtte de seksualmoralske krav strammes op, vel at mærke for både mænd og kvinder. Det var kun rimeligt at kræve samme grad af </w:t>
      </w:r>
      <w:proofErr w:type="spellStart"/>
      <w:r w:rsidRPr="00876FB2">
        <w:rPr>
          <w:sz w:val="24"/>
        </w:rPr>
        <w:t>kyskhed</w:t>
      </w:r>
      <w:proofErr w:type="spellEnd"/>
      <w:r w:rsidRPr="00876FB2">
        <w:rPr>
          <w:sz w:val="24"/>
        </w:rPr>
        <w:t xml:space="preserve"> af mænd, som man allerede forventede af kvinder, mente Bjørnson.</w:t>
      </w:r>
    </w:p>
    <w:p w14:paraId="65F609B5" w14:textId="77777777" w:rsidR="00876FB2" w:rsidRDefault="00876FB2" w:rsidP="00876FB2">
      <w:pPr>
        <w:rPr>
          <w:sz w:val="24"/>
        </w:rPr>
      </w:pPr>
      <w:r w:rsidRPr="00876FB2">
        <w:rPr>
          <w:i/>
          <w:iCs/>
          <w:sz w:val="24"/>
        </w:rPr>
        <w:t>Handskemoralen</w:t>
      </w:r>
      <w:r w:rsidRPr="00876FB2">
        <w:rPr>
          <w:sz w:val="24"/>
        </w:rPr>
        <w:t xml:space="preserve">, som Bjørnsons moralske fordring blev kaldt, vandt stor tilslutning i samtiden, og især mange kvinder fra borgerskabet støttede kravet om seksuel ligestilling gennem afholdenhed for begge køn.  Kvindesagsforkæmperen </w:t>
      </w:r>
      <w:r w:rsidRPr="007A3365">
        <w:rPr>
          <w:b/>
          <w:sz w:val="24"/>
        </w:rPr>
        <w:t xml:space="preserve">Elisabeth Grundtvig (1856-1945) </w:t>
      </w:r>
      <w:r w:rsidRPr="00876FB2">
        <w:rPr>
          <w:sz w:val="24"/>
        </w:rPr>
        <w:t>gik ind i debatten i marts 1887. Hun fremsatte sit standpunkt om "det sædelige lighedskrav", der reelt var en gentagelse af Bjørnsons handskemoral. Ræsonnementet var, at når de "normale kvinder", dvs. borgerskabets, kunne tøjle den dyriske parringsdrift, så kunne mændene også. Mænd måtte blive som de dydige kulturkvinder og ikke omvendt, lød Elisabeth Grundtvigs slagord.</w:t>
      </w:r>
    </w:p>
    <w:p w14:paraId="2ADF4F9A" w14:textId="77777777" w:rsidR="00876FB2" w:rsidRPr="00876FB2" w:rsidRDefault="00876FB2" w:rsidP="00876FB2">
      <w:pPr>
        <w:rPr>
          <w:sz w:val="32"/>
        </w:rPr>
      </w:pPr>
      <w:r w:rsidRPr="00876FB2">
        <w:rPr>
          <w:rFonts w:ascii="Georgia" w:hAnsi="Georgia"/>
          <w:b/>
          <w:bCs/>
          <w:color w:val="0A0A0A"/>
          <w:sz w:val="24"/>
          <w:szCs w:val="21"/>
          <w:shd w:val="clear" w:color="auto" w:fill="FEFEFE"/>
        </w:rPr>
        <w:t>De nordiske fritænkere</w:t>
      </w:r>
    </w:p>
    <w:p w14:paraId="53FDA188" w14:textId="77777777" w:rsidR="00876FB2" w:rsidRPr="00876FB2" w:rsidRDefault="00876FB2" w:rsidP="00876FB2">
      <w:pPr>
        <w:rPr>
          <w:sz w:val="24"/>
        </w:rPr>
      </w:pPr>
      <w:r w:rsidRPr="00876FB2">
        <w:rPr>
          <w:sz w:val="24"/>
        </w:rPr>
        <w:t>I de mellemliggende år fra 1883 til 1887 havde diskussionen bølget op og ned. Der var udkommet en række bøger, fortrinsvis af svenske og norske forfattere, som gik imod handskemoral og dydige sædelighedskrav. Den lille skare af nordiske fritænkere argumenterede i stedet for, at man burde slække på den strenge seksualmoral og tolerere sex før og uden for ægteskabet for både mænd og kvinder. De plæderede for fri kærlighed og påpegede det skadelige i seksuel selvfornægtelse.</w:t>
      </w:r>
    </w:p>
    <w:p w14:paraId="0C0E8C04" w14:textId="77777777" w:rsidR="007B1F1D" w:rsidRDefault="007B1F1D" w:rsidP="00876FB2">
      <w:pPr>
        <w:rPr>
          <w:sz w:val="24"/>
        </w:rPr>
      </w:pPr>
    </w:p>
    <w:p w14:paraId="0FCD52E1" w14:textId="77777777" w:rsidR="007B1F1D" w:rsidRDefault="007B1F1D" w:rsidP="00876FB2">
      <w:pPr>
        <w:rPr>
          <w:sz w:val="24"/>
        </w:rPr>
      </w:pPr>
    </w:p>
    <w:p w14:paraId="442ACF66" w14:textId="72B6D985" w:rsidR="00876FB2" w:rsidRPr="00876FB2" w:rsidRDefault="00876FB2" w:rsidP="00876FB2">
      <w:pPr>
        <w:rPr>
          <w:sz w:val="24"/>
        </w:rPr>
      </w:pPr>
      <w:r w:rsidRPr="00876FB2">
        <w:rPr>
          <w:sz w:val="24"/>
        </w:rPr>
        <w:t xml:space="preserve">Mange anså litteraten Georg Brandes (1842-1927) for at være anfører for den lille, men højrøstede gruppe af fritænkere. Brandes gjorde i en artikel i 1885 klart, at han gik ind for at kunne tale frit om bl.a. kønsforhold. </w:t>
      </w:r>
      <w:proofErr w:type="gramStart"/>
      <w:r w:rsidRPr="00876FB2">
        <w:rPr>
          <w:sz w:val="24"/>
        </w:rPr>
        <w:t>Endvidere</w:t>
      </w:r>
      <w:proofErr w:type="gramEnd"/>
      <w:r w:rsidRPr="00876FB2">
        <w:rPr>
          <w:sz w:val="24"/>
        </w:rPr>
        <w:t xml:space="preserve"> mente han, at kønslivet burde være et rent privat anliggende, fri for offentlig indblanding og andre folks moralske domme. Det indbragte ham hurtigt et ry som en usædelighedens forkæmper, der ønskede fri kærlighed og "parring i flæng</w:t>
      </w:r>
      <w:r w:rsidR="00A46038">
        <w:rPr>
          <w:sz w:val="24"/>
        </w:rPr>
        <w:t xml:space="preserve">” (= </w:t>
      </w:r>
      <w:r w:rsidR="00A46038">
        <w:rPr>
          <w:i/>
          <w:sz w:val="24"/>
        </w:rPr>
        <w:t>uden omtanke, red.)</w:t>
      </w:r>
      <w:r w:rsidRPr="00876FB2">
        <w:rPr>
          <w:sz w:val="24"/>
        </w:rPr>
        <w:t>. I realiteten var han dog tilbageholdende med at blande sig i diskussionen, da han udmærket var klar over, at hans frisindede holdninger næppe ville vinde ham mange støtter i det blufærdige og konservative Norden.</w:t>
      </w:r>
    </w:p>
    <w:p w14:paraId="39635299" w14:textId="77777777" w:rsidR="00876FB2" w:rsidRPr="00876FB2" w:rsidRDefault="00876FB2" w:rsidP="00876FB2">
      <w:pPr>
        <w:rPr>
          <w:sz w:val="40"/>
        </w:rPr>
      </w:pPr>
      <w:proofErr w:type="spellStart"/>
      <w:r w:rsidRPr="00876FB2">
        <w:rPr>
          <w:rFonts w:ascii="Georgia" w:hAnsi="Georgia"/>
          <w:b/>
          <w:bCs/>
          <w:color w:val="0A0A0A"/>
          <w:sz w:val="24"/>
          <w:szCs w:val="21"/>
          <w:shd w:val="clear" w:color="auto" w:fill="FEFEFE"/>
        </w:rPr>
        <w:t>Tremånederskrigen</w:t>
      </w:r>
      <w:proofErr w:type="spellEnd"/>
      <w:r w:rsidRPr="00876FB2">
        <w:rPr>
          <w:rFonts w:ascii="Georgia" w:hAnsi="Georgia"/>
          <w:b/>
          <w:bCs/>
          <w:color w:val="0A0A0A"/>
          <w:sz w:val="24"/>
          <w:szCs w:val="21"/>
          <w:shd w:val="clear" w:color="auto" w:fill="FEFEFE"/>
        </w:rPr>
        <w:t xml:space="preserve"> 1887</w:t>
      </w:r>
    </w:p>
    <w:p w14:paraId="3264898E" w14:textId="7784FD5E" w:rsidR="00876FB2" w:rsidRPr="00876FB2" w:rsidRDefault="00876FB2" w:rsidP="00876FB2">
      <w:pPr>
        <w:rPr>
          <w:sz w:val="24"/>
        </w:rPr>
      </w:pPr>
      <w:r w:rsidRPr="00876FB2">
        <w:rPr>
          <w:sz w:val="24"/>
        </w:rPr>
        <w:t>Elisabeth Grundtvigs indlæg i debatten blev trykt i bladet </w:t>
      </w:r>
      <w:r w:rsidRPr="00876FB2">
        <w:rPr>
          <w:i/>
          <w:iCs/>
          <w:sz w:val="24"/>
        </w:rPr>
        <w:t>Kvinden og Samfundet </w:t>
      </w:r>
      <w:r w:rsidRPr="00876FB2">
        <w:rPr>
          <w:sz w:val="24"/>
        </w:rPr>
        <w:t>og indvarslede den intense og hidsige kulmination på debatten om seksualmoralen under det, der i sommeren 1887 skulle blive kendt som </w:t>
      </w:r>
      <w:proofErr w:type="spellStart"/>
      <w:r w:rsidRPr="00876FB2">
        <w:rPr>
          <w:i/>
          <w:iCs/>
          <w:sz w:val="24"/>
        </w:rPr>
        <w:t>Tremånederskrigen</w:t>
      </w:r>
      <w:proofErr w:type="spellEnd"/>
      <w:r w:rsidRPr="00876FB2">
        <w:rPr>
          <w:i/>
          <w:iCs/>
          <w:sz w:val="24"/>
        </w:rPr>
        <w:t>.</w:t>
      </w:r>
      <w:r w:rsidRPr="00876FB2">
        <w:rPr>
          <w:sz w:val="24"/>
        </w:rPr>
        <w:t xml:space="preserve"> Det skete, da Georg Brandes endelig kastede sig ind i sædelighedsdebatten. Han havde fået nok af handskemoralisternes moralprædiken og af at blive fremstillet som en amoralsk forkæmper for almindelig usædelighed. I tre </w:t>
      </w:r>
      <w:r w:rsidR="007A48FE">
        <w:rPr>
          <w:sz w:val="24"/>
        </w:rPr>
        <w:t>korte</w:t>
      </w:r>
      <w:r w:rsidRPr="00876FB2">
        <w:rPr>
          <w:sz w:val="24"/>
        </w:rPr>
        <w:t xml:space="preserve"> artikler i </w:t>
      </w:r>
      <w:r w:rsidRPr="00876FB2">
        <w:rPr>
          <w:i/>
          <w:iCs/>
          <w:sz w:val="24"/>
        </w:rPr>
        <w:t>Politiken </w:t>
      </w:r>
      <w:r w:rsidRPr="00876FB2">
        <w:rPr>
          <w:sz w:val="24"/>
        </w:rPr>
        <w:t>den 6., 7. og 8. juli rettede Brandes et svidende angreb mod Elisabeth Grundtvig og hendes støtter, som han beskyldte for bl.a. råhed, perfidi</w:t>
      </w:r>
      <w:r w:rsidR="008C55BA">
        <w:rPr>
          <w:sz w:val="24"/>
        </w:rPr>
        <w:t xml:space="preserve"> (</w:t>
      </w:r>
      <w:r w:rsidR="00985521">
        <w:rPr>
          <w:i/>
          <w:sz w:val="24"/>
        </w:rPr>
        <w:t>= urimelig mobning, red.)</w:t>
      </w:r>
      <w:r w:rsidRPr="00876FB2">
        <w:rPr>
          <w:sz w:val="24"/>
        </w:rPr>
        <w:t xml:space="preserve"> og æreskænderi. Elisabeth Grundtvig svarede igen på Brandes’ angreb ved at lægge sag an for injurier</w:t>
      </w:r>
      <w:r w:rsidR="00C40E01">
        <w:rPr>
          <w:sz w:val="24"/>
        </w:rPr>
        <w:t xml:space="preserve"> (</w:t>
      </w:r>
      <w:r w:rsidR="00C40E01">
        <w:rPr>
          <w:i/>
          <w:sz w:val="24"/>
        </w:rPr>
        <w:t>= falsk, ærekrænkende beskyldning, red.)</w:t>
      </w:r>
      <w:r w:rsidRPr="00876FB2">
        <w:rPr>
          <w:sz w:val="24"/>
        </w:rPr>
        <w:t xml:space="preserve"> - og vandt sagen. Da Brandes havde skrevet artiklerne under pseudonymerne "G.B." og "Lucifer", var det dog </w:t>
      </w:r>
      <w:r w:rsidRPr="00876FB2">
        <w:rPr>
          <w:i/>
          <w:iCs/>
          <w:sz w:val="24"/>
        </w:rPr>
        <w:t>Politiken </w:t>
      </w:r>
      <w:r w:rsidRPr="00876FB2">
        <w:rPr>
          <w:sz w:val="24"/>
        </w:rPr>
        <w:t>og bladets redaktør, Viggo Hørup (1841-1902), der måtte betale den bøde på i alt 140 kr., retten idømte sagens taber.</w:t>
      </w:r>
    </w:p>
    <w:p w14:paraId="55FDDB7C" w14:textId="77777777" w:rsidR="00876FB2" w:rsidRDefault="00876FB2" w:rsidP="00876FB2">
      <w:pPr>
        <w:rPr>
          <w:sz w:val="24"/>
        </w:rPr>
      </w:pPr>
      <w:proofErr w:type="spellStart"/>
      <w:r w:rsidRPr="00876FB2">
        <w:rPr>
          <w:sz w:val="24"/>
        </w:rPr>
        <w:t>Tremånederskrigen</w:t>
      </w:r>
      <w:proofErr w:type="spellEnd"/>
      <w:r w:rsidRPr="00876FB2">
        <w:rPr>
          <w:sz w:val="24"/>
        </w:rPr>
        <w:t xml:space="preserve"> fortsatte som et månedlangt privat brevskænderi imellem blandt andre Brandes og Bjørnson i august og september 1887. Diskussionen gik på, hvorvidt Brandes havde været for hård imod Elisabeth Grundtvig og de andre, der kæmpede for stramning af seksualmoralen. Bjørnson og Brandes, hvis forhold ellers havde været præget af gensidig respekt og sympati, blev rygende uvenner og brød efter den lange brevveksling med hinanden for bestandig.</w:t>
      </w:r>
    </w:p>
    <w:p w14:paraId="06DA0828" w14:textId="77777777" w:rsidR="00876FB2" w:rsidRPr="00876FB2" w:rsidRDefault="00876FB2" w:rsidP="00876FB2">
      <w:pPr>
        <w:rPr>
          <w:sz w:val="32"/>
        </w:rPr>
      </w:pPr>
      <w:r w:rsidRPr="00876FB2">
        <w:rPr>
          <w:rFonts w:ascii="Georgia" w:hAnsi="Georgia"/>
          <w:b/>
          <w:bCs/>
          <w:color w:val="0A0A0A"/>
          <w:sz w:val="24"/>
          <w:szCs w:val="21"/>
          <w:shd w:val="clear" w:color="auto" w:fill="FEFEFE"/>
        </w:rPr>
        <w:t>Sædelighedsfejden og det moderne gennembrud</w:t>
      </w:r>
    </w:p>
    <w:p w14:paraId="75778D6B" w14:textId="4F675EEF" w:rsidR="00876FB2" w:rsidRPr="00876FB2" w:rsidRDefault="00876FB2" w:rsidP="00876FB2">
      <w:pPr>
        <w:rPr>
          <w:sz w:val="24"/>
        </w:rPr>
      </w:pPr>
      <w:r w:rsidRPr="00876FB2">
        <w:rPr>
          <w:sz w:val="24"/>
        </w:rPr>
        <w:t xml:space="preserve">Sædelighedsfejden var nok en ophedet debat, men alligevel fik den årelange diskussion ikke umiddelbart nogen håndfaste resultater. Det var en lille, nordisk elite af forfattere, kunstnere og kvindesagsforkæmpere, der førte an i debatten, og deres holdninger var ikke altid i trit med den brede befolkning. Derfor gik der også mange år, før diskussionen satte sig spor i form af lovændringer eller i det generelle syn på seksualitet, kønsmoral og ligestilling. Handskemoralen og det sædelige lighedskrav vandt generelt set størst opbakning, og man holdt fast i de eksisterende seksualmoralske konventioner. </w:t>
      </w:r>
    </w:p>
    <w:p w14:paraId="70B874F6" w14:textId="6AA238C9" w:rsidR="00876FB2" w:rsidRPr="00876FB2" w:rsidRDefault="00876FB2" w:rsidP="00876FB2">
      <w:pPr>
        <w:rPr>
          <w:sz w:val="24"/>
        </w:rPr>
      </w:pPr>
      <w:r w:rsidRPr="00876FB2">
        <w:rPr>
          <w:sz w:val="24"/>
        </w:rPr>
        <w:t>Alligevel er Sædelighedsfejden i historieskrivningen blevet forstået som et af de sociale og kulturelle nybrud, der skete under det moderne gennembrud. Sædelighedsfejden var danmarkshistoriens første offentlige forhandling af seksualmoralen, og med diskussionen fik den almindelige dansker for første gang mulighed for at forholde sig til emner, det ellers have været forbeholdt sagkundskaben at diskutere. Dermed kom Sædelighedsfejden til at danne grundlaget for de løbende forhandlinger om seksualmoralen, der skulle komme til at præge store dele af det 20. århundrede, og som stadig præger os i dag.</w:t>
      </w:r>
    </w:p>
    <w:sectPr w:rsidR="00876FB2" w:rsidRPr="00876FB2" w:rsidSect="00876FB2">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0D51" w14:textId="77777777" w:rsidR="00831241" w:rsidRDefault="00831241" w:rsidP="00831241">
      <w:pPr>
        <w:spacing w:after="0" w:line="240" w:lineRule="auto"/>
      </w:pPr>
      <w:r>
        <w:separator/>
      </w:r>
    </w:p>
  </w:endnote>
  <w:endnote w:type="continuationSeparator" w:id="0">
    <w:p w14:paraId="7F3FAD49" w14:textId="77777777" w:rsidR="00831241" w:rsidRDefault="00831241" w:rsidP="0083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2C06" w14:textId="77777777" w:rsidR="00831241" w:rsidRDefault="00831241" w:rsidP="00831241">
      <w:pPr>
        <w:spacing w:after="0" w:line="240" w:lineRule="auto"/>
      </w:pPr>
      <w:r>
        <w:separator/>
      </w:r>
    </w:p>
  </w:footnote>
  <w:footnote w:type="continuationSeparator" w:id="0">
    <w:p w14:paraId="77E8C247" w14:textId="77777777" w:rsidR="00831241" w:rsidRDefault="00831241" w:rsidP="0083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2E67" w14:textId="4D197264" w:rsidR="00831241" w:rsidRDefault="00831241">
    <w:pPr>
      <w:pStyle w:val="Sidehoved"/>
    </w:pPr>
    <w:r>
      <w:rPr>
        <w:noProof/>
      </w:rPr>
      <mc:AlternateContent>
        <mc:Choice Requires="wps">
          <w:drawing>
            <wp:anchor distT="0" distB="0" distL="114300" distR="114300" simplePos="0" relativeHeight="251660288" behindDoc="0" locked="0" layoutInCell="0" allowOverlap="1" wp14:anchorId="450B0F46" wp14:editId="5455D0B6">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183A2BB6" w14:textId="79E48C61" w:rsidR="00831241" w:rsidRDefault="00681701">
                              <w:pPr>
                                <w:spacing w:after="0" w:line="240" w:lineRule="auto"/>
                              </w:pPr>
                              <w:r>
                                <w:t>DHO-forløb – Historie, Danmark 1864-1901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50B0F46"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183A2BB6" w14:textId="79E48C61" w:rsidR="00831241" w:rsidRDefault="00681701">
                        <w:pPr>
                          <w:spacing w:after="0" w:line="240" w:lineRule="auto"/>
                        </w:pPr>
                        <w:r>
                          <w:t>DHO-forløb – Historie, Danmark 1864-1901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B34BF9D" wp14:editId="31A7E0A6">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53D630D" w14:textId="77777777" w:rsidR="00831241" w:rsidRDefault="00831241">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B34BF9D"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BpkIFIkAgAAMgQAAA4AAAAAAAAAAAAAAAAALgIAAGRycy9lMm9Eb2MueG1s&#10;UEsBAi0AFAAGAAgAAAAhAEBxNDjbAAAABAEAAA8AAAAAAAAAAAAAAAAAfgQAAGRycy9kb3ducmV2&#10;LnhtbFBLBQYAAAAABAAEAPMAAACGBQAAAAA=&#10;" o:allowincell="f" fillcolor="#a8d08d [1945]" stroked="f">
              <v:textbox style="mso-fit-shape-to-text:t" inset=",0,,0">
                <w:txbxContent>
                  <w:p w14:paraId="753D630D" w14:textId="77777777" w:rsidR="00831241" w:rsidRDefault="00831241">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566540">
      <w:t>Sædelighedsfejdens historie i Danmark</w:t>
    </w:r>
    <w:r w:rsidR="00F42815">
      <w:t xml:space="preserve">: uddrag fra </w:t>
    </w:r>
    <w:hyperlink r:id="rId1" w:history="1">
      <w:r w:rsidR="00F42815">
        <w:rPr>
          <w:rStyle w:val="Hyperlink"/>
        </w:rPr>
        <w:t>https://danmarkshistorien.dk/leksikon-og-kilder/vis/materiale/saedelighedsfejden/</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B2"/>
    <w:rsid w:val="00566540"/>
    <w:rsid w:val="005713B2"/>
    <w:rsid w:val="00637FB8"/>
    <w:rsid w:val="00647B6E"/>
    <w:rsid w:val="00681701"/>
    <w:rsid w:val="007744AC"/>
    <w:rsid w:val="007A3365"/>
    <w:rsid w:val="007A48FE"/>
    <w:rsid w:val="007B1F1D"/>
    <w:rsid w:val="00831241"/>
    <w:rsid w:val="00876FB2"/>
    <w:rsid w:val="008C55BA"/>
    <w:rsid w:val="00985521"/>
    <w:rsid w:val="00A46038"/>
    <w:rsid w:val="00B467FF"/>
    <w:rsid w:val="00C40E01"/>
    <w:rsid w:val="00F428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E149C"/>
  <w15:chartTrackingRefBased/>
  <w15:docId w15:val="{1AE32F4D-2EBE-4FC2-899B-5A9EE7E2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76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6FB2"/>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876FB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8312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1241"/>
  </w:style>
  <w:style w:type="paragraph" w:styleId="Sidefod">
    <w:name w:val="footer"/>
    <w:basedOn w:val="Normal"/>
    <w:link w:val="SidefodTegn"/>
    <w:uiPriority w:val="99"/>
    <w:unhideWhenUsed/>
    <w:rsid w:val="008312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1241"/>
  </w:style>
  <w:style w:type="character" w:styleId="Hyperlink">
    <w:name w:val="Hyperlink"/>
    <w:basedOn w:val="Standardskrifttypeiafsnit"/>
    <w:uiPriority w:val="99"/>
    <w:semiHidden/>
    <w:unhideWhenUsed/>
    <w:rsid w:val="00F4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84385">
      <w:bodyDiv w:val="1"/>
      <w:marLeft w:val="0"/>
      <w:marRight w:val="0"/>
      <w:marTop w:val="0"/>
      <w:marBottom w:val="0"/>
      <w:divBdr>
        <w:top w:val="none" w:sz="0" w:space="0" w:color="auto"/>
        <w:left w:val="none" w:sz="0" w:space="0" w:color="auto"/>
        <w:bottom w:val="none" w:sz="0" w:space="0" w:color="auto"/>
        <w:right w:val="none" w:sz="0" w:space="0" w:color="auto"/>
      </w:divBdr>
    </w:div>
    <w:div w:id="874847695">
      <w:bodyDiv w:val="1"/>
      <w:marLeft w:val="0"/>
      <w:marRight w:val="0"/>
      <w:marTop w:val="0"/>
      <w:marBottom w:val="0"/>
      <w:divBdr>
        <w:top w:val="none" w:sz="0" w:space="0" w:color="auto"/>
        <w:left w:val="none" w:sz="0" w:space="0" w:color="auto"/>
        <w:bottom w:val="none" w:sz="0" w:space="0" w:color="auto"/>
        <w:right w:val="none" w:sz="0" w:space="0" w:color="auto"/>
      </w:divBdr>
    </w:div>
    <w:div w:id="975064109">
      <w:bodyDiv w:val="1"/>
      <w:marLeft w:val="0"/>
      <w:marRight w:val="0"/>
      <w:marTop w:val="0"/>
      <w:marBottom w:val="0"/>
      <w:divBdr>
        <w:top w:val="none" w:sz="0" w:space="0" w:color="auto"/>
        <w:left w:val="none" w:sz="0" w:space="0" w:color="auto"/>
        <w:bottom w:val="none" w:sz="0" w:space="0" w:color="auto"/>
        <w:right w:val="none" w:sz="0" w:space="0" w:color="auto"/>
      </w:divBdr>
    </w:div>
    <w:div w:id="1340545280">
      <w:bodyDiv w:val="1"/>
      <w:marLeft w:val="0"/>
      <w:marRight w:val="0"/>
      <w:marTop w:val="0"/>
      <w:marBottom w:val="0"/>
      <w:divBdr>
        <w:top w:val="none" w:sz="0" w:space="0" w:color="auto"/>
        <w:left w:val="none" w:sz="0" w:space="0" w:color="auto"/>
        <w:bottom w:val="none" w:sz="0" w:space="0" w:color="auto"/>
        <w:right w:val="none" w:sz="0" w:space="0" w:color="auto"/>
      </w:divBdr>
    </w:div>
    <w:div w:id="1345666673">
      <w:bodyDiv w:val="1"/>
      <w:marLeft w:val="0"/>
      <w:marRight w:val="0"/>
      <w:marTop w:val="0"/>
      <w:marBottom w:val="0"/>
      <w:divBdr>
        <w:top w:val="none" w:sz="0" w:space="0" w:color="auto"/>
        <w:left w:val="none" w:sz="0" w:space="0" w:color="auto"/>
        <w:bottom w:val="none" w:sz="0" w:space="0" w:color="auto"/>
        <w:right w:val="none" w:sz="0" w:space="0" w:color="auto"/>
      </w:divBdr>
    </w:div>
    <w:div w:id="14926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anmarkshistorien.dk/leksikon-og-kilder/vis/materiale/saedelighedsfejd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D4C8-41A9-4EB6-A51A-F5B26363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926</Words>
  <Characters>5653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DHO-forløb – Historie, Danmark 1864-1901 /EB</dc:title>
  <dc:subject/>
  <dc:creator>Erika Bánkuti Østergaard</dc:creator>
  <cp:keywords/>
  <dc:description/>
  <cp:lastModifiedBy>Erika Bánkuti Østergaard</cp:lastModifiedBy>
  <cp:revision>16</cp:revision>
  <dcterms:created xsi:type="dcterms:W3CDTF">2019-05-25T08:38:00Z</dcterms:created>
  <dcterms:modified xsi:type="dcterms:W3CDTF">2020-06-02T17:32:00Z</dcterms:modified>
</cp:coreProperties>
</file>