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2D78" w14:textId="77777777" w:rsidR="00F64464" w:rsidRDefault="00F64464">
      <w:pPr>
        <w:pStyle w:val="Titel"/>
        <w:spacing w:before="0" w:beforeAutospacing="0"/>
      </w:pPr>
      <w:r>
        <w:t>Fremstilling af</w:t>
      </w:r>
      <w:r w:rsidR="00692F1D">
        <w:t xml:space="preserve"> en syre-base</w:t>
      </w:r>
      <w:r>
        <w:t>indikator og titrering</w:t>
      </w:r>
    </w:p>
    <w:p w14:paraId="21A23DCC" w14:textId="77777777" w:rsidR="00F64464" w:rsidRDefault="00A57D5E">
      <w:pPr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Journal</w:t>
      </w:r>
      <w:r w:rsidR="00F64464">
        <w:rPr>
          <w:rFonts w:ascii="Arial" w:hAnsi="Arial" w:cs="Arial"/>
          <w:sz w:val="18"/>
          <w:szCs w:val="24"/>
        </w:rPr>
        <w:t>øvelse</w:t>
      </w:r>
    </w:p>
    <w:p w14:paraId="68297AF2" w14:textId="77777777" w:rsidR="00F64464" w:rsidRPr="00DA0120" w:rsidRDefault="00F64464">
      <w:pPr>
        <w:pStyle w:val="Overskrift1"/>
        <w:rPr>
          <w:sz w:val="22"/>
          <w:szCs w:val="22"/>
        </w:rPr>
      </w:pPr>
      <w:r w:rsidRPr="00DA0120">
        <w:rPr>
          <w:sz w:val="22"/>
          <w:szCs w:val="22"/>
        </w:rPr>
        <w:t xml:space="preserve">Formål </w:t>
      </w:r>
    </w:p>
    <w:p w14:paraId="1A5E8CD4" w14:textId="77777777" w:rsidR="00F64464" w:rsidRDefault="00F64464" w:rsidP="00DA0120">
      <w:pPr>
        <w:jc w:val="both"/>
        <w:rPr>
          <w:szCs w:val="24"/>
        </w:rPr>
      </w:pPr>
      <w:r>
        <w:rPr>
          <w:szCs w:val="24"/>
        </w:rPr>
        <w:t>Formålet er at fremstille en syre-base indikator af rødkål og at benytte denne indikator til at bestemme koncentrationen af en saltsyreopløsning ved en syre-base titrering.</w:t>
      </w:r>
    </w:p>
    <w:p w14:paraId="384D5E9C" w14:textId="77777777" w:rsidR="00F64464" w:rsidRDefault="00F64464">
      <w:pPr>
        <w:rPr>
          <w:szCs w:val="24"/>
        </w:rPr>
      </w:pPr>
    </w:p>
    <w:p w14:paraId="0B3345FD" w14:textId="77777777" w:rsidR="00F64464" w:rsidRPr="00DA0120" w:rsidRDefault="00F64464">
      <w:pPr>
        <w:pStyle w:val="Overskrift1"/>
        <w:rPr>
          <w:sz w:val="22"/>
          <w:szCs w:val="22"/>
        </w:rPr>
      </w:pPr>
      <w:r w:rsidRPr="00DA0120">
        <w:rPr>
          <w:sz w:val="22"/>
          <w:szCs w:val="22"/>
        </w:rPr>
        <w:t>Teori</w:t>
      </w:r>
    </w:p>
    <w:p w14:paraId="4910C10B" w14:textId="77777777" w:rsidR="00F64464" w:rsidRDefault="00F64464" w:rsidP="00DA0120">
      <w:pPr>
        <w:jc w:val="both"/>
      </w:pPr>
      <w:r>
        <w:t>Titrering er e</w:t>
      </w:r>
      <w:r w:rsidR="00692F1D">
        <w:t>n såkaldt kvantitativ</w:t>
      </w:r>
      <w:r>
        <w:t xml:space="preserve"> analyse</w:t>
      </w:r>
      <w:r w:rsidR="00692F1D">
        <w:t>metode</w:t>
      </w:r>
      <w:r>
        <w:t xml:space="preserve">. Det vil sige en metode til bestemmelse af, hvor meget der findes af et givet stof i en opløsning. Der findes forskellige typer af titrering, afhængigt af hvilken kemisk reaktion, der er den bagvedliggende. Blandt de almindeligst kendte titreringsmetoder er kolorimetrisk syre-base titrering. Ved en kolorimetrisk syre-base titrering bestemmes ækvivalenspunktet ved brug af en syre-base indikator. </w:t>
      </w:r>
    </w:p>
    <w:p w14:paraId="22CA9D70" w14:textId="77777777" w:rsidR="00F64464" w:rsidRDefault="00F64464" w:rsidP="00DA0120">
      <w:pPr>
        <w:spacing w:line="241" w:lineRule="auto"/>
        <w:jc w:val="both"/>
        <w:rPr>
          <w:noProof/>
        </w:rPr>
      </w:pPr>
    </w:p>
    <w:p w14:paraId="52068E61" w14:textId="77777777" w:rsidR="00F64464" w:rsidRDefault="00F64464" w:rsidP="00DA0120">
      <w:pPr>
        <w:jc w:val="both"/>
      </w:pPr>
      <w:r>
        <w:t xml:space="preserve">I praksis anvender man ofte en burette, hvis størrelse afhænger af formålet med titreringen. </w:t>
      </w:r>
      <w:r w:rsidR="00B06866">
        <w:t xml:space="preserve">Fx kan </w:t>
      </w:r>
      <w:r>
        <w:t>anvendes buretter til 2</w:t>
      </w:r>
      <w:r w:rsidR="00692F1D">
        <w:t>0</w:t>
      </w:r>
      <w:r>
        <w:t xml:space="preserve"> eller </w:t>
      </w:r>
      <w:r w:rsidR="00692F1D">
        <w:t>25</w:t>
      </w:r>
      <w:r>
        <w:t xml:space="preserve"> </w:t>
      </w:r>
      <w:proofErr w:type="spellStart"/>
      <w:r>
        <w:t>mL.</w:t>
      </w:r>
      <w:proofErr w:type="spellEnd"/>
      <w:r>
        <w:t xml:space="preserve"> Fra buretten </w:t>
      </w:r>
      <w:proofErr w:type="spellStart"/>
      <w:r>
        <w:t>tildryppes</w:t>
      </w:r>
      <w:proofErr w:type="spellEnd"/>
      <w:r>
        <w:t xml:space="preserve"> </w:t>
      </w:r>
      <w:proofErr w:type="spellStart"/>
      <w:r>
        <w:rPr>
          <w:b/>
        </w:rPr>
        <w:t>titrator</w:t>
      </w:r>
      <w:proofErr w:type="spellEnd"/>
      <w:r>
        <w:t xml:space="preserve">, ned i den koniske kolbe, hvor </w:t>
      </w:r>
      <w:r>
        <w:rPr>
          <w:b/>
        </w:rPr>
        <w:t>titran</w:t>
      </w:r>
      <w:r>
        <w:rPr>
          <w:b/>
        </w:rPr>
        <w:softHyphen/>
        <w:t>den</w:t>
      </w:r>
      <w:r>
        <w:t xml:space="preserve"> eller </w:t>
      </w:r>
      <w:r>
        <w:rPr>
          <w:b/>
        </w:rPr>
        <w:t>analysen</w:t>
      </w:r>
      <w:r>
        <w:t xml:space="preserve"> findes. </w:t>
      </w:r>
      <w:proofErr w:type="spellStart"/>
      <w:r>
        <w:t>Titra</w:t>
      </w:r>
      <w:r>
        <w:softHyphen/>
        <w:t>toren</w:t>
      </w:r>
      <w:proofErr w:type="spellEnd"/>
      <w:r>
        <w:t xml:space="preserve"> er valgt så den rea</w:t>
      </w:r>
      <w:r>
        <w:softHyphen/>
        <w:t>gerer på en kendt og vel</w:t>
      </w:r>
      <w:r>
        <w:softHyphen/>
        <w:t>defineret måde med titranden. Der titre</w:t>
      </w:r>
      <w:r>
        <w:softHyphen/>
        <w:t xml:space="preserve">res til </w:t>
      </w:r>
      <w:r>
        <w:rPr>
          <w:b/>
        </w:rPr>
        <w:t>ækviva</w:t>
      </w:r>
      <w:r>
        <w:rPr>
          <w:b/>
        </w:rPr>
        <w:softHyphen/>
        <w:t>lenspunktet</w:t>
      </w:r>
      <w:r>
        <w:t>, hvor netop al titrand har re</w:t>
      </w:r>
      <w:r>
        <w:softHyphen/>
        <w:t>ageret. Problemet er at bestemme præcist, hvornår ækviva</w:t>
      </w:r>
      <w:r>
        <w:softHyphen/>
        <w:t>lens</w:t>
      </w:r>
      <w:r>
        <w:softHyphen/>
        <w:t>punk</w:t>
      </w:r>
      <w:r>
        <w:softHyphen/>
        <w:t>tet er nået. I en kolorimetrisk syre-base titrering an</w:t>
      </w:r>
      <w:r>
        <w:softHyphen/>
        <w:t>vendes en pas</w:t>
      </w:r>
      <w:r>
        <w:softHyphen/>
        <w:t xml:space="preserve">sende </w:t>
      </w:r>
      <w:r>
        <w:rPr>
          <w:b/>
        </w:rPr>
        <w:t>indikator</w:t>
      </w:r>
      <w:r>
        <w:t>, der har den egen</w:t>
      </w:r>
      <w:r>
        <w:softHyphen/>
        <w:t>skab at skifte farve, netop når ækvivalens</w:t>
      </w:r>
      <w:r>
        <w:softHyphen/>
        <w:t xml:space="preserve">punktet nås. </w:t>
      </w:r>
    </w:p>
    <w:p w14:paraId="6090FE05" w14:textId="77777777" w:rsidR="00F64464" w:rsidRDefault="00F64464" w:rsidP="00DA0120">
      <w:pPr>
        <w:jc w:val="both"/>
      </w:pPr>
    </w:p>
    <w:p w14:paraId="356DFD67" w14:textId="3FFD273E" w:rsidR="00F64464" w:rsidRDefault="00F64464" w:rsidP="00DA0120">
      <w:pPr>
        <w:jc w:val="both"/>
        <w:rPr>
          <w:szCs w:val="24"/>
        </w:rPr>
      </w:pPr>
      <w:r>
        <w:t>I øvelsen skal en saltsyreopløsnings koncentration bestemmes ved titrering med natrium</w:t>
      </w:r>
      <w:r w:rsidR="00964AC1">
        <w:t>(1+)</w:t>
      </w:r>
      <w:r>
        <w:t>hydroxid. Som indikator benyttes en rødkålsopløsning, da rødkåls farve afhænger af opløsningens pH-værdi. Ved titreringen reagerer saltsyre med natriumhydroxid i en syre-base reaktion:</w:t>
      </w:r>
    </w:p>
    <w:p w14:paraId="579F2E5C" w14:textId="77777777" w:rsidR="00F64464" w:rsidRDefault="00F64464" w:rsidP="00DA0120">
      <w:pPr>
        <w:jc w:val="both"/>
        <w:rPr>
          <w:szCs w:val="24"/>
        </w:rPr>
      </w:pPr>
    </w:p>
    <w:p w14:paraId="10C26660" w14:textId="436648C6" w:rsidR="00FD16A4" w:rsidRDefault="00F64464" w:rsidP="00DA0120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Opskriv et afstemt reaktionsskema for reaktionen mellem saltsyre og natrium</w:t>
      </w:r>
      <w:r w:rsidR="00964AC1">
        <w:rPr>
          <w:szCs w:val="24"/>
        </w:rPr>
        <w:t>(1+)</w:t>
      </w:r>
      <w:r>
        <w:rPr>
          <w:szCs w:val="24"/>
        </w:rPr>
        <w:t>hydroxid.</w:t>
      </w:r>
      <w:r w:rsidR="00FD16A4">
        <w:rPr>
          <w:szCs w:val="24"/>
        </w:rPr>
        <w:br/>
      </w:r>
    </w:p>
    <w:p w14:paraId="180A1B71" w14:textId="38B707A8" w:rsidR="00DA0120" w:rsidRDefault="00F64464" w:rsidP="00DA0120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Hvordan beregnes pH i en opløsning af en stærk syre hhv. stærk base (antag fx at du har en 0,1</w:t>
      </w:r>
      <w:r w:rsidR="00FD16A4">
        <w:rPr>
          <w:szCs w:val="24"/>
        </w:rPr>
        <w:t>0</w:t>
      </w:r>
      <w:r>
        <w:rPr>
          <w:szCs w:val="24"/>
        </w:rPr>
        <w:t xml:space="preserve"> </w:t>
      </w:r>
      <w:r w:rsidR="00FD16A4">
        <w:rPr>
          <w:smallCaps/>
          <w:szCs w:val="24"/>
        </w:rPr>
        <w:t>m</w:t>
      </w:r>
      <w:r>
        <w:rPr>
          <w:szCs w:val="24"/>
        </w:rPr>
        <w:t xml:space="preserve"> saltsyre henholdsvis en 0,1</w:t>
      </w:r>
      <w:r w:rsidR="00FD16A4">
        <w:rPr>
          <w:szCs w:val="24"/>
        </w:rPr>
        <w:t>0</w:t>
      </w:r>
      <w:r>
        <w:rPr>
          <w:szCs w:val="24"/>
        </w:rPr>
        <w:t xml:space="preserve"> </w:t>
      </w:r>
      <w:r w:rsidR="00FD16A4">
        <w:rPr>
          <w:smallCaps/>
          <w:szCs w:val="24"/>
        </w:rPr>
        <w:t>m</w:t>
      </w:r>
      <w:r>
        <w:rPr>
          <w:szCs w:val="24"/>
        </w:rPr>
        <w:t xml:space="preserve"> natrium</w:t>
      </w:r>
      <w:r w:rsidR="00964AC1">
        <w:rPr>
          <w:szCs w:val="24"/>
        </w:rPr>
        <w:t>(1+)</w:t>
      </w:r>
      <w:r>
        <w:rPr>
          <w:szCs w:val="24"/>
        </w:rPr>
        <w:t>hydroxid)?</w:t>
      </w:r>
    </w:p>
    <w:p w14:paraId="0CDE3A62" w14:textId="56CB7951" w:rsidR="00FD16A4" w:rsidRDefault="00FD16A4" w:rsidP="00DA0120">
      <w:pPr>
        <w:ind w:left="720"/>
        <w:jc w:val="both"/>
        <w:rPr>
          <w:szCs w:val="24"/>
        </w:rPr>
      </w:pPr>
    </w:p>
    <w:p w14:paraId="1ABC5CF9" w14:textId="2135DAAC" w:rsidR="00B06866" w:rsidRDefault="00F64464" w:rsidP="00DA0120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Opskriv formlen der angiver sammenhængen mellem koncentration, stofmængde og </w:t>
      </w:r>
      <w:r w:rsidR="00FD16A4">
        <w:rPr>
          <w:szCs w:val="24"/>
        </w:rPr>
        <w:t>volumen</w:t>
      </w:r>
      <w:r>
        <w:rPr>
          <w:szCs w:val="24"/>
        </w:rPr>
        <w:t>.</w:t>
      </w:r>
    </w:p>
    <w:p w14:paraId="2A12B15B" w14:textId="77777777" w:rsidR="00DA0120" w:rsidRPr="00DA0120" w:rsidRDefault="00DA0120" w:rsidP="00DA0120">
      <w:pPr>
        <w:ind w:left="720"/>
        <w:jc w:val="both"/>
        <w:rPr>
          <w:szCs w:val="24"/>
        </w:rPr>
      </w:pPr>
    </w:p>
    <w:p w14:paraId="474788CF" w14:textId="77777777" w:rsidR="00F64464" w:rsidRDefault="00F64464" w:rsidP="00DA0120">
      <w:pPr>
        <w:jc w:val="both"/>
        <w:rPr>
          <w:szCs w:val="24"/>
        </w:rPr>
      </w:pPr>
      <w:r>
        <w:rPr>
          <w:szCs w:val="24"/>
        </w:rPr>
        <w:t>Ækvivalenspunktet er opnået, når der er tilsat den</w:t>
      </w:r>
      <w:r w:rsidR="00FD16A4">
        <w:rPr>
          <w:szCs w:val="24"/>
        </w:rPr>
        <w:t xml:space="preserve"> samme stofmængde af hydroxid</w:t>
      </w:r>
      <w:r>
        <w:rPr>
          <w:szCs w:val="24"/>
        </w:rPr>
        <w:t xml:space="preserve">, som der oprindeligt var af saltsyre, dvs. der er tilsat ækvivalente mængder af stofferne. </w:t>
      </w:r>
    </w:p>
    <w:p w14:paraId="1E584A90" w14:textId="77777777" w:rsidR="00FD16A4" w:rsidRDefault="00FD16A4" w:rsidP="00DA0120">
      <w:pPr>
        <w:jc w:val="both"/>
        <w:rPr>
          <w:szCs w:val="24"/>
        </w:rPr>
      </w:pPr>
    </w:p>
    <w:p w14:paraId="3C31363A" w14:textId="77777777" w:rsidR="00FD16A4" w:rsidRDefault="00FD16A4" w:rsidP="00DA0120">
      <w:pPr>
        <w:jc w:val="both"/>
        <w:rPr>
          <w:szCs w:val="24"/>
        </w:rPr>
      </w:pPr>
    </w:p>
    <w:p w14:paraId="701B5600" w14:textId="77777777" w:rsidR="00DA0120" w:rsidRDefault="00F64464" w:rsidP="00DA0120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Opskriv en formel som udtrykker at ”den ti</w:t>
      </w:r>
      <w:r w:rsidR="00FD16A4">
        <w:rPr>
          <w:szCs w:val="24"/>
        </w:rPr>
        <w:t xml:space="preserve">lsatte </w:t>
      </w:r>
      <w:r w:rsidR="00FD16A4" w:rsidRPr="00FD16A4">
        <w:rPr>
          <w:b/>
          <w:i/>
          <w:szCs w:val="24"/>
        </w:rPr>
        <w:t>stofmængde</w:t>
      </w:r>
      <w:r w:rsidR="00FD16A4">
        <w:rPr>
          <w:szCs w:val="24"/>
        </w:rPr>
        <w:t xml:space="preserve"> af hydroxid</w:t>
      </w:r>
      <w:r>
        <w:rPr>
          <w:szCs w:val="24"/>
        </w:rPr>
        <w:t xml:space="preserve"> er lig med den oprindelige </w:t>
      </w:r>
      <w:r w:rsidRPr="00FD16A4">
        <w:rPr>
          <w:b/>
          <w:i/>
          <w:szCs w:val="24"/>
        </w:rPr>
        <w:t>stofmængde</w:t>
      </w:r>
      <w:r>
        <w:rPr>
          <w:szCs w:val="24"/>
        </w:rPr>
        <w:t>, der var af saltsyre”.</w:t>
      </w:r>
    </w:p>
    <w:p w14:paraId="46FA2696" w14:textId="63BF3F19" w:rsidR="00FD16A4" w:rsidRDefault="00FD16A4" w:rsidP="00DA0120">
      <w:pPr>
        <w:ind w:left="720"/>
        <w:jc w:val="both"/>
        <w:rPr>
          <w:szCs w:val="24"/>
        </w:rPr>
      </w:pPr>
    </w:p>
    <w:p w14:paraId="26C3E598" w14:textId="6A3BCF0D" w:rsidR="00DA0120" w:rsidRDefault="00F64464" w:rsidP="00DA0120">
      <w:pPr>
        <w:numPr>
          <w:ilvl w:val="0"/>
          <w:numId w:val="5"/>
        </w:numPr>
        <w:jc w:val="both"/>
        <w:rPr>
          <w:szCs w:val="24"/>
        </w:rPr>
      </w:pPr>
      <w:r w:rsidRPr="00FD16A4">
        <w:rPr>
          <w:szCs w:val="24"/>
        </w:rPr>
        <w:t>Hvordan ser formlen ud, som kan benyttes til at beregne saltsyres koncentration ud fra koncentrationen af natrium</w:t>
      </w:r>
      <w:r w:rsidR="00964AC1">
        <w:rPr>
          <w:szCs w:val="24"/>
        </w:rPr>
        <w:t>(1+)</w:t>
      </w:r>
      <w:r w:rsidRPr="00FD16A4">
        <w:rPr>
          <w:szCs w:val="24"/>
        </w:rPr>
        <w:t xml:space="preserve">hydroxid, samt </w:t>
      </w:r>
      <w:r w:rsidR="00FD16A4">
        <w:rPr>
          <w:szCs w:val="24"/>
        </w:rPr>
        <w:t>volumen</w:t>
      </w:r>
      <w:r w:rsidRPr="00FD16A4">
        <w:rPr>
          <w:szCs w:val="24"/>
        </w:rPr>
        <w:t xml:space="preserve"> af saltsyre og natrium</w:t>
      </w:r>
      <w:r w:rsidR="00964AC1">
        <w:rPr>
          <w:szCs w:val="24"/>
        </w:rPr>
        <w:t>(1+)</w:t>
      </w:r>
      <w:r w:rsidRPr="00FD16A4">
        <w:rPr>
          <w:szCs w:val="24"/>
        </w:rPr>
        <w:t>hydroxid?</w:t>
      </w:r>
      <w:r w:rsidRPr="00FD16A4">
        <w:rPr>
          <w:szCs w:val="24"/>
        </w:rPr>
        <w:br/>
        <w:t xml:space="preserve">(Hjælp: Kombiner svarene fra </w:t>
      </w:r>
      <w:r w:rsidR="00FD16A4">
        <w:rPr>
          <w:szCs w:val="24"/>
        </w:rPr>
        <w:t>3</w:t>
      </w:r>
      <w:r w:rsidRPr="00FD16A4">
        <w:rPr>
          <w:szCs w:val="24"/>
        </w:rPr>
        <w:t xml:space="preserve"> og </w:t>
      </w:r>
      <w:r w:rsidR="00FD16A4">
        <w:rPr>
          <w:szCs w:val="24"/>
        </w:rPr>
        <w:t>4</w:t>
      </w:r>
      <w:r w:rsidRPr="00FD16A4">
        <w:rPr>
          <w:szCs w:val="24"/>
        </w:rPr>
        <w:t>)</w:t>
      </w:r>
    </w:p>
    <w:p w14:paraId="05A72854" w14:textId="2B5008F9" w:rsidR="00F64464" w:rsidRPr="00FD16A4" w:rsidRDefault="00F64464" w:rsidP="00DA0120">
      <w:pPr>
        <w:ind w:left="720"/>
        <w:jc w:val="both"/>
        <w:rPr>
          <w:szCs w:val="24"/>
        </w:rPr>
      </w:pPr>
    </w:p>
    <w:p w14:paraId="78C2DE34" w14:textId="77777777" w:rsidR="00F64464" w:rsidRPr="00DA0120" w:rsidRDefault="00F64464">
      <w:pPr>
        <w:pStyle w:val="Overskrift1"/>
        <w:rPr>
          <w:sz w:val="22"/>
          <w:szCs w:val="22"/>
        </w:rPr>
      </w:pPr>
      <w:r w:rsidRPr="00DA0120">
        <w:rPr>
          <w:sz w:val="22"/>
          <w:szCs w:val="22"/>
        </w:rPr>
        <w:t>Apparatur</w:t>
      </w:r>
    </w:p>
    <w:p w14:paraId="66D359DD" w14:textId="77777777" w:rsidR="00F64464" w:rsidRDefault="00CC2716" w:rsidP="00FD16A4">
      <w:r>
        <w:t>Fin</w:t>
      </w:r>
      <w:r w:rsidR="00F64464">
        <w:t xml:space="preserve">pipette, </w:t>
      </w:r>
      <w:r>
        <w:t>5</w:t>
      </w:r>
      <w:r w:rsidR="00F64464">
        <w:t xml:space="preserve"> mL konisk kolbe, 100 mL bægerglas, </w:t>
      </w:r>
      <w:r w:rsidR="00652AE4">
        <w:t>mikro</w:t>
      </w:r>
      <w:r w:rsidR="00F64464">
        <w:t>burette, trefod, bunsenbrænder, trådnet, 100</w:t>
      </w:r>
      <w:r w:rsidR="00305F3F">
        <w:t xml:space="preserve"> mL</w:t>
      </w:r>
      <w:r w:rsidR="00F64464">
        <w:t xml:space="preserve"> måleglas, reagensglas.</w:t>
      </w:r>
    </w:p>
    <w:p w14:paraId="552B5F8E" w14:textId="77777777" w:rsidR="00F64464" w:rsidRDefault="00F64464">
      <w:pPr>
        <w:rPr>
          <w:szCs w:val="24"/>
        </w:rPr>
      </w:pPr>
    </w:p>
    <w:p w14:paraId="7BFDB67B" w14:textId="77777777" w:rsidR="00F64464" w:rsidRDefault="00F64464">
      <w:pPr>
        <w:rPr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Kemikalier</w:t>
      </w:r>
    </w:p>
    <w:p w14:paraId="4F4E7C1A" w14:textId="2DC73B2D" w:rsidR="00F64464" w:rsidRDefault="00F64464" w:rsidP="00DA0120">
      <w:pPr>
        <w:jc w:val="both"/>
      </w:pPr>
      <w:r>
        <w:t xml:space="preserve">Saltsyreopløsning (ca. 0,1 M </w:t>
      </w:r>
      <w:proofErr w:type="spellStart"/>
      <w:r>
        <w:t>HCl</w:t>
      </w:r>
      <w:proofErr w:type="spellEnd"/>
      <w:r>
        <w:t>), natrium</w:t>
      </w:r>
      <w:r w:rsidR="007F16B3">
        <w:t>(1+)</w:t>
      </w:r>
      <w:r>
        <w:t>hydroxidopløsning (0,100 M NaOH), pufferopløsninger (</w:t>
      </w:r>
      <w:r w:rsidR="00692F1D">
        <w:t>ca</w:t>
      </w:r>
      <w:r w:rsidR="00964AC1">
        <w:t>.</w:t>
      </w:r>
      <w:r w:rsidR="00692F1D">
        <w:t xml:space="preserve"> </w:t>
      </w:r>
      <w:r>
        <w:t xml:space="preserve">pH 4 og </w:t>
      </w:r>
      <w:r w:rsidR="00692F1D">
        <w:t xml:space="preserve">pH </w:t>
      </w:r>
      <w:r>
        <w:t>7), rødkål</w:t>
      </w:r>
      <w:r w:rsidR="00DA0120">
        <w:t>.</w:t>
      </w:r>
    </w:p>
    <w:p w14:paraId="10FBCF2F" w14:textId="77777777" w:rsidR="00F64464" w:rsidRDefault="00F64464">
      <w:pPr>
        <w:rPr>
          <w:szCs w:val="24"/>
        </w:rPr>
      </w:pPr>
    </w:p>
    <w:p w14:paraId="2747FA78" w14:textId="77777777" w:rsidR="00F64464" w:rsidRPr="00DA0120" w:rsidRDefault="00F64464">
      <w:pPr>
        <w:pStyle w:val="Overskrift1"/>
        <w:rPr>
          <w:sz w:val="22"/>
          <w:szCs w:val="18"/>
          <w:u w:val="single"/>
        </w:rPr>
      </w:pPr>
      <w:r w:rsidRPr="00DA0120">
        <w:rPr>
          <w:sz w:val="22"/>
          <w:szCs w:val="18"/>
        </w:rPr>
        <w:t>Udførelse</w:t>
      </w:r>
    </w:p>
    <w:p w14:paraId="2B9FC8EE" w14:textId="77777777" w:rsidR="00DA0120" w:rsidRPr="00DA0120" w:rsidRDefault="00F64464" w:rsidP="00DA0120">
      <w:pPr>
        <w:numPr>
          <w:ilvl w:val="0"/>
          <w:numId w:val="1"/>
        </w:numPr>
        <w:jc w:val="both"/>
        <w:rPr>
          <w:szCs w:val="24"/>
        </w:rPr>
      </w:pPr>
      <w:r>
        <w:rPr>
          <w:b/>
          <w:bCs/>
          <w:szCs w:val="24"/>
        </w:rPr>
        <w:t>Fremstilling af indikator</w:t>
      </w:r>
    </w:p>
    <w:p w14:paraId="224E4103" w14:textId="77777777" w:rsidR="00DA0120" w:rsidRDefault="00F64464" w:rsidP="00DA0120">
      <w:pPr>
        <w:ind w:left="720"/>
        <w:jc w:val="both"/>
        <w:rPr>
          <w:szCs w:val="24"/>
        </w:rPr>
      </w:pPr>
      <w:r>
        <w:rPr>
          <w:szCs w:val="24"/>
        </w:rPr>
        <w:t>Afvej ca. 25 g rødkål. Snit rødkålen i mindre stykker, som derefter fyldes i</w:t>
      </w:r>
      <w:r w:rsidR="00692F1D">
        <w:rPr>
          <w:szCs w:val="24"/>
        </w:rPr>
        <w:t xml:space="preserve"> fx</w:t>
      </w:r>
      <w:r>
        <w:rPr>
          <w:szCs w:val="24"/>
        </w:rPr>
        <w:t xml:space="preserve"> et 100 mL bægerglas. Tilsæt ca. 50 mL vand. Kog rødkålen i ca. 5 min. (opløsningen skal blive farvet). Lad opløsningen køle af. Hæld derefter en del af den farvede opløsning over i et bægerglas. Søg for at der ikke kommer rester fra rødkålen med.</w:t>
      </w:r>
    </w:p>
    <w:p w14:paraId="0F609082" w14:textId="2F20CFA1" w:rsidR="00F64464" w:rsidRDefault="00F64464" w:rsidP="00DA0120">
      <w:pPr>
        <w:ind w:left="720"/>
        <w:jc w:val="both"/>
        <w:rPr>
          <w:szCs w:val="24"/>
        </w:rPr>
      </w:pPr>
    </w:p>
    <w:p w14:paraId="1F67BF1F" w14:textId="77777777" w:rsidR="00DA0120" w:rsidRPr="00DA0120" w:rsidRDefault="00F64464" w:rsidP="00DA0120">
      <w:pPr>
        <w:numPr>
          <w:ilvl w:val="0"/>
          <w:numId w:val="1"/>
        </w:numPr>
        <w:jc w:val="both"/>
        <w:rPr>
          <w:szCs w:val="24"/>
        </w:rPr>
      </w:pPr>
      <w:r>
        <w:rPr>
          <w:b/>
          <w:bCs/>
          <w:szCs w:val="24"/>
        </w:rPr>
        <w:t>Rødkåls indikatorens farver</w:t>
      </w:r>
    </w:p>
    <w:p w14:paraId="542D922E" w14:textId="0FCF14F6" w:rsidR="00DA0120" w:rsidRDefault="00F64464" w:rsidP="00DA0120">
      <w:pPr>
        <w:ind w:left="720"/>
        <w:jc w:val="both"/>
        <w:rPr>
          <w:szCs w:val="24"/>
        </w:rPr>
      </w:pPr>
      <w:r>
        <w:rPr>
          <w:szCs w:val="24"/>
        </w:rPr>
        <w:t xml:space="preserve">I fire reagensglas fyldes henholdsvis ca. </w:t>
      </w:r>
      <w:r w:rsidR="00FD16A4">
        <w:rPr>
          <w:szCs w:val="24"/>
        </w:rPr>
        <w:t>3</w:t>
      </w:r>
      <w:r>
        <w:rPr>
          <w:szCs w:val="24"/>
        </w:rPr>
        <w:t xml:space="preserve"> mL saltsyreopløsning, ca. </w:t>
      </w:r>
      <w:r w:rsidR="00FD16A4">
        <w:rPr>
          <w:szCs w:val="24"/>
        </w:rPr>
        <w:t>3</w:t>
      </w:r>
      <w:r>
        <w:rPr>
          <w:szCs w:val="24"/>
        </w:rPr>
        <w:t xml:space="preserve"> mL pufferopløsning </w:t>
      </w:r>
      <w:r w:rsidR="00692F1D">
        <w:rPr>
          <w:szCs w:val="24"/>
        </w:rPr>
        <w:t xml:space="preserve">pH </w:t>
      </w:r>
      <w:r>
        <w:rPr>
          <w:szCs w:val="24"/>
        </w:rPr>
        <w:t>4</w:t>
      </w:r>
      <w:r w:rsidR="00692F1D">
        <w:rPr>
          <w:szCs w:val="24"/>
        </w:rPr>
        <w:t>,</w:t>
      </w:r>
      <w:r>
        <w:rPr>
          <w:szCs w:val="24"/>
        </w:rPr>
        <w:t xml:space="preserve"> ca. </w:t>
      </w:r>
      <w:r w:rsidR="00FD16A4">
        <w:rPr>
          <w:szCs w:val="24"/>
        </w:rPr>
        <w:t>3</w:t>
      </w:r>
      <w:r>
        <w:rPr>
          <w:szCs w:val="24"/>
        </w:rPr>
        <w:t xml:space="preserve"> mL pufferopløsning </w:t>
      </w:r>
      <w:r w:rsidR="00692F1D">
        <w:rPr>
          <w:szCs w:val="24"/>
        </w:rPr>
        <w:t xml:space="preserve">pH </w:t>
      </w:r>
      <w:r>
        <w:rPr>
          <w:szCs w:val="24"/>
        </w:rPr>
        <w:t xml:space="preserve">7 og ca. </w:t>
      </w:r>
      <w:r w:rsidR="00FD16A4">
        <w:rPr>
          <w:szCs w:val="24"/>
        </w:rPr>
        <w:t>3</w:t>
      </w:r>
      <w:r>
        <w:rPr>
          <w:szCs w:val="24"/>
        </w:rPr>
        <w:t xml:space="preserve"> mL natrium</w:t>
      </w:r>
      <w:r w:rsidR="007F16B3">
        <w:rPr>
          <w:szCs w:val="24"/>
        </w:rPr>
        <w:t>(1+)</w:t>
      </w:r>
      <w:r>
        <w:rPr>
          <w:szCs w:val="24"/>
        </w:rPr>
        <w:t xml:space="preserve">hydroxidopløsning. Til hvert af reagensglassene tilsættes ca. </w:t>
      </w:r>
      <w:r w:rsidR="00FD16A4">
        <w:rPr>
          <w:szCs w:val="24"/>
        </w:rPr>
        <w:t>½</w:t>
      </w:r>
      <w:r>
        <w:rPr>
          <w:szCs w:val="24"/>
        </w:rPr>
        <w:t xml:space="preserve"> mL af rødkålsopløsningen. Noter de forskellige farver.</w:t>
      </w:r>
    </w:p>
    <w:p w14:paraId="06948693" w14:textId="734DCA45" w:rsidR="00F64464" w:rsidRDefault="00F64464" w:rsidP="00DA0120">
      <w:pPr>
        <w:ind w:left="720"/>
        <w:jc w:val="both"/>
        <w:rPr>
          <w:szCs w:val="24"/>
        </w:rPr>
      </w:pPr>
    </w:p>
    <w:p w14:paraId="322A4F19" w14:textId="77777777" w:rsidR="00DA0120" w:rsidRPr="00DA0120" w:rsidRDefault="00F64464" w:rsidP="00DA0120">
      <w:pPr>
        <w:numPr>
          <w:ilvl w:val="0"/>
          <w:numId w:val="1"/>
        </w:num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jc w:val="both"/>
        <w:rPr>
          <w:spacing w:val="-3"/>
          <w:szCs w:val="24"/>
        </w:rPr>
      </w:pPr>
      <w:r>
        <w:rPr>
          <w:b/>
          <w:bCs/>
          <w:szCs w:val="24"/>
        </w:rPr>
        <w:t>Titrering</w:t>
      </w:r>
    </w:p>
    <w:p w14:paraId="58A91201" w14:textId="77777777" w:rsidR="00DA0120" w:rsidRDefault="00CC2716" w:rsidP="00DA0120">
      <w:pPr>
        <w:numPr>
          <w:ilvl w:val="1"/>
          <w:numId w:val="1"/>
        </w:num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Inden første titrering skal opstillingen afprøves med vand. Især for at få fornemmelsen af, at man skal trykke meget lidt på sprøjten for at få tilført </w:t>
      </w:r>
      <w:proofErr w:type="spellStart"/>
      <w:r>
        <w:rPr>
          <w:spacing w:val="-3"/>
          <w:szCs w:val="24"/>
        </w:rPr>
        <w:t>titrator</w:t>
      </w:r>
      <w:proofErr w:type="spellEnd"/>
      <w:r>
        <w:rPr>
          <w:spacing w:val="-3"/>
          <w:szCs w:val="24"/>
        </w:rPr>
        <w:t>.</w:t>
      </w:r>
    </w:p>
    <w:p w14:paraId="33F31A5D" w14:textId="6AC74068" w:rsidR="00DA0120" w:rsidRDefault="00CC2716" w:rsidP="00DA0120">
      <w:p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ind w:left="1069"/>
        <w:jc w:val="both"/>
        <w:rPr>
          <w:spacing w:val="-3"/>
          <w:szCs w:val="24"/>
        </w:rPr>
      </w:pPr>
      <w:r>
        <w:rPr>
          <w:spacing w:val="-3"/>
          <w:szCs w:val="24"/>
        </w:rPr>
        <w:t>Skyl pipetten mindst 3 gange med vand.</w:t>
      </w:r>
    </w:p>
    <w:p w14:paraId="0B663335" w14:textId="77777777" w:rsidR="00DA0120" w:rsidRDefault="00DA0120" w:rsidP="00DA0120">
      <w:p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ind w:left="1069"/>
        <w:jc w:val="both"/>
        <w:rPr>
          <w:spacing w:val="-3"/>
          <w:szCs w:val="24"/>
        </w:rPr>
      </w:pPr>
    </w:p>
    <w:p w14:paraId="62EE1BAB" w14:textId="63A86608" w:rsidR="00DA0120" w:rsidRPr="00DA0120" w:rsidRDefault="00F64464" w:rsidP="00DA0120">
      <w:pPr>
        <w:pStyle w:val="Listeafsnit"/>
        <w:numPr>
          <w:ilvl w:val="1"/>
          <w:numId w:val="1"/>
        </w:num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jc w:val="both"/>
        <w:rPr>
          <w:spacing w:val="-3"/>
          <w:szCs w:val="24"/>
        </w:rPr>
      </w:pPr>
      <w:proofErr w:type="spellStart"/>
      <w:r w:rsidRPr="00DA0120">
        <w:rPr>
          <w:szCs w:val="24"/>
        </w:rPr>
        <w:t>Afpipetter</w:t>
      </w:r>
      <w:proofErr w:type="spellEnd"/>
      <w:r w:rsidRPr="00DA0120">
        <w:rPr>
          <w:szCs w:val="24"/>
        </w:rPr>
        <w:t xml:space="preserve"> </w:t>
      </w:r>
      <w:r w:rsidR="00CC2716" w:rsidRPr="00DA0120">
        <w:rPr>
          <w:szCs w:val="24"/>
        </w:rPr>
        <w:t>1</w:t>
      </w:r>
      <w:r w:rsidRPr="00DA0120">
        <w:rPr>
          <w:szCs w:val="24"/>
        </w:rPr>
        <w:t>,0</w:t>
      </w:r>
      <w:r w:rsidR="00FD16A4" w:rsidRPr="00DA0120">
        <w:rPr>
          <w:szCs w:val="24"/>
        </w:rPr>
        <w:t>0</w:t>
      </w:r>
      <w:r w:rsidRPr="00DA0120">
        <w:rPr>
          <w:szCs w:val="24"/>
        </w:rPr>
        <w:t xml:space="preserve"> mL saltsyreopløsning i en konisk kolbe</w:t>
      </w:r>
      <w:r w:rsidR="00CC2716" w:rsidRPr="00DA0120">
        <w:rPr>
          <w:szCs w:val="24"/>
        </w:rPr>
        <w:t xml:space="preserve"> (5 mL)</w:t>
      </w:r>
      <w:r w:rsidRPr="00DA0120">
        <w:rPr>
          <w:szCs w:val="24"/>
        </w:rPr>
        <w:t xml:space="preserve">. Tilsæt </w:t>
      </w:r>
      <w:r w:rsidR="00CC2716" w:rsidRPr="00DA0120">
        <w:rPr>
          <w:szCs w:val="24"/>
        </w:rPr>
        <w:t>nogle dråber</w:t>
      </w:r>
      <w:r w:rsidRPr="00DA0120">
        <w:rPr>
          <w:szCs w:val="24"/>
        </w:rPr>
        <w:t xml:space="preserve"> rødkålsopløsningen (blandingen omtales som titranden). </w:t>
      </w:r>
      <w:r w:rsidR="00FD16A4" w:rsidRPr="00DA0120">
        <w:rPr>
          <w:szCs w:val="24"/>
        </w:rPr>
        <w:t xml:space="preserve">Der skal tilsættes tilstrækkeligt med rødkålsopløsning til at farven kan ses. </w:t>
      </w:r>
      <w:r w:rsidRPr="00DA0120">
        <w:rPr>
          <w:szCs w:val="24"/>
        </w:rPr>
        <w:t>Noter opløsningens farve.</w:t>
      </w:r>
    </w:p>
    <w:p w14:paraId="4E5F24DC" w14:textId="77777777" w:rsidR="00DA0120" w:rsidRPr="00DA0120" w:rsidRDefault="00DA0120" w:rsidP="00DA0120">
      <w:pPr>
        <w:pStyle w:val="Listeafsnit"/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ind w:left="1069"/>
        <w:jc w:val="both"/>
        <w:rPr>
          <w:spacing w:val="-3"/>
          <w:szCs w:val="24"/>
        </w:rPr>
      </w:pPr>
    </w:p>
    <w:p w14:paraId="084A93CB" w14:textId="3ABABA7E" w:rsidR="00DA0120" w:rsidRPr="00DA0120" w:rsidRDefault="00F64464" w:rsidP="00DA0120">
      <w:pPr>
        <w:pStyle w:val="Listeafsnit"/>
        <w:numPr>
          <w:ilvl w:val="1"/>
          <w:numId w:val="1"/>
        </w:num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jc w:val="both"/>
        <w:rPr>
          <w:spacing w:val="-3"/>
          <w:szCs w:val="24"/>
        </w:rPr>
      </w:pPr>
      <w:r w:rsidRPr="00DA0120">
        <w:rPr>
          <w:szCs w:val="24"/>
        </w:rPr>
        <w:t xml:space="preserve">En </w:t>
      </w:r>
      <w:r w:rsidR="00CC2716" w:rsidRPr="00DA0120">
        <w:rPr>
          <w:spacing w:val="-3"/>
          <w:szCs w:val="24"/>
        </w:rPr>
        <w:t>mikroburette</w:t>
      </w:r>
      <w:r w:rsidR="00CC2716" w:rsidRPr="00DA0120">
        <w:rPr>
          <w:szCs w:val="24"/>
        </w:rPr>
        <w:t xml:space="preserve"> </w:t>
      </w:r>
      <w:r w:rsidRPr="00DA0120">
        <w:rPr>
          <w:szCs w:val="24"/>
        </w:rPr>
        <w:t>fyldes med natrium</w:t>
      </w:r>
      <w:r w:rsidR="007F16B3">
        <w:rPr>
          <w:szCs w:val="24"/>
        </w:rPr>
        <w:t>(1+)</w:t>
      </w:r>
      <w:r w:rsidRPr="00DA0120">
        <w:rPr>
          <w:szCs w:val="24"/>
        </w:rPr>
        <w:t>hydroxid (</w:t>
      </w:r>
      <w:proofErr w:type="spellStart"/>
      <w:r w:rsidRPr="00DA0120">
        <w:rPr>
          <w:szCs w:val="24"/>
        </w:rPr>
        <w:t>titrator</w:t>
      </w:r>
      <w:proofErr w:type="spellEnd"/>
      <w:r w:rsidRPr="00DA0120">
        <w:rPr>
          <w:szCs w:val="24"/>
        </w:rPr>
        <w:t>)</w:t>
      </w:r>
      <w:r w:rsidR="00CC2716" w:rsidRPr="00DA0120">
        <w:rPr>
          <w:szCs w:val="24"/>
        </w:rPr>
        <w:t>,</w:t>
      </w:r>
      <w:r w:rsidRPr="00DA0120">
        <w:rPr>
          <w:szCs w:val="24"/>
        </w:rPr>
        <w:t xml:space="preserve"> og buretten</w:t>
      </w:r>
      <w:r w:rsidR="00CC2716" w:rsidRPr="00DA0120">
        <w:rPr>
          <w:szCs w:val="24"/>
        </w:rPr>
        <w:t xml:space="preserve"> nulstilles</w:t>
      </w:r>
      <w:r w:rsidRPr="00DA0120">
        <w:rPr>
          <w:szCs w:val="24"/>
        </w:rPr>
        <w:t>.</w:t>
      </w:r>
    </w:p>
    <w:p w14:paraId="301490A3" w14:textId="77777777" w:rsidR="00DA0120" w:rsidRPr="00DA0120" w:rsidRDefault="00DA0120" w:rsidP="00DA0120">
      <w:pPr>
        <w:pStyle w:val="Listeafsnit"/>
        <w:rPr>
          <w:szCs w:val="24"/>
        </w:rPr>
      </w:pPr>
    </w:p>
    <w:p w14:paraId="74FBE5F6" w14:textId="77777777" w:rsidR="00DA0120" w:rsidRPr="00DA0120" w:rsidRDefault="00F64464" w:rsidP="00DA0120">
      <w:pPr>
        <w:pStyle w:val="Listeafsnit"/>
        <w:numPr>
          <w:ilvl w:val="1"/>
          <w:numId w:val="1"/>
        </w:num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jc w:val="both"/>
        <w:rPr>
          <w:spacing w:val="-3"/>
          <w:szCs w:val="24"/>
        </w:rPr>
      </w:pPr>
      <w:proofErr w:type="spellStart"/>
      <w:r w:rsidRPr="00DA0120">
        <w:rPr>
          <w:szCs w:val="24"/>
        </w:rPr>
        <w:t>Titratoren</w:t>
      </w:r>
      <w:proofErr w:type="spellEnd"/>
      <w:r w:rsidRPr="00DA0120">
        <w:rPr>
          <w:szCs w:val="24"/>
        </w:rPr>
        <w:t xml:space="preserve"> dryppes ned i den koniske kolbe, indtil et omslag fra en </w:t>
      </w:r>
      <w:r w:rsidRPr="007F16B3">
        <w:rPr>
          <w:b/>
          <w:bCs/>
          <w:szCs w:val="24"/>
        </w:rPr>
        <w:t>rødlig</w:t>
      </w:r>
      <w:r w:rsidRPr="00DA0120">
        <w:rPr>
          <w:szCs w:val="24"/>
        </w:rPr>
        <w:t xml:space="preserve"> til en </w:t>
      </w:r>
      <w:r w:rsidRPr="007F16B3">
        <w:rPr>
          <w:b/>
          <w:bCs/>
          <w:szCs w:val="24"/>
        </w:rPr>
        <w:t>blågrøn</w:t>
      </w:r>
      <w:r w:rsidRPr="00DA0120">
        <w:rPr>
          <w:szCs w:val="24"/>
        </w:rPr>
        <w:t xml:space="preserve"> farve ses, HUSK at blandingen skal omrøres undervejs. Noter eventuelle farveskift undervejs i titreringen. Buretten aflæses og antal mL tilsat NaOH noteres. Opløsningens farve noteres. Fyld herefter ekstra ca. </w:t>
      </w:r>
      <w:r w:rsidR="00CC2716" w:rsidRPr="00DA0120">
        <w:rPr>
          <w:szCs w:val="24"/>
        </w:rPr>
        <w:t>1</w:t>
      </w:r>
      <w:r w:rsidRPr="00DA0120">
        <w:rPr>
          <w:szCs w:val="24"/>
        </w:rPr>
        <w:t xml:space="preserve"> mL 0,100 M NaOH i opløsningen. Opløsningens farve noteres.</w:t>
      </w:r>
    </w:p>
    <w:p w14:paraId="7EB20D24" w14:textId="77777777" w:rsidR="00DA0120" w:rsidRPr="00DA0120" w:rsidRDefault="00DA0120" w:rsidP="00DA0120">
      <w:pPr>
        <w:pStyle w:val="Listeafsnit"/>
        <w:rPr>
          <w:szCs w:val="24"/>
        </w:rPr>
      </w:pPr>
    </w:p>
    <w:p w14:paraId="4E323CD9" w14:textId="24AB1A19" w:rsidR="00DA0120" w:rsidRPr="00DA0120" w:rsidRDefault="00B06866" w:rsidP="00DA0120">
      <w:pPr>
        <w:pStyle w:val="Listeafsnit"/>
        <w:numPr>
          <w:ilvl w:val="1"/>
          <w:numId w:val="1"/>
        </w:numPr>
        <w:tabs>
          <w:tab w:val="left" w:pos="-850"/>
          <w:tab w:val="left" w:pos="0"/>
          <w:tab w:val="left" w:pos="849"/>
          <w:tab w:val="left" w:pos="2551"/>
          <w:tab w:val="left" w:pos="4251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</w:tabs>
        <w:suppressAutoHyphens/>
        <w:jc w:val="both"/>
        <w:rPr>
          <w:spacing w:val="-3"/>
          <w:szCs w:val="24"/>
        </w:rPr>
      </w:pPr>
      <w:r w:rsidRPr="00DA0120">
        <w:rPr>
          <w:szCs w:val="24"/>
        </w:rPr>
        <w:t>Gentag forsøget.</w:t>
      </w:r>
    </w:p>
    <w:p w14:paraId="3282CB4D" w14:textId="77777777" w:rsidR="00DA0120" w:rsidRPr="00DA0120" w:rsidRDefault="00DA0120" w:rsidP="00DA0120">
      <w:pPr>
        <w:pStyle w:val="Listeafsnit"/>
        <w:jc w:val="both"/>
        <w:rPr>
          <w:spacing w:val="-3"/>
          <w:szCs w:val="24"/>
        </w:rPr>
      </w:pPr>
    </w:p>
    <w:p w14:paraId="0AFB637D" w14:textId="334A32A1" w:rsidR="00B06866" w:rsidRDefault="00CC2716" w:rsidP="00DA0120">
      <w:pPr>
        <w:pStyle w:val="Listeafsnit"/>
        <w:numPr>
          <w:ilvl w:val="1"/>
          <w:numId w:val="1"/>
        </w:numPr>
        <w:jc w:val="both"/>
        <w:rPr>
          <w:szCs w:val="24"/>
        </w:rPr>
      </w:pPr>
      <w:r w:rsidRPr="00DA0120">
        <w:rPr>
          <w:szCs w:val="24"/>
        </w:rPr>
        <w:t>Når man er færdig, SKAL mikropipette efterskyldes med vand. Dette gør at eventuelle rester af kemikalier ikke sætter sig i pipetterne. Gør følgende: Tre gange fyldes pipetten (næsten hele glasrøret) med vand. For at få al opløsning ud af mikroburetten, tages sprøjtens stempel helt af og sættes på igen - herefter trykkes stemplet helt i bund.</w:t>
      </w:r>
    </w:p>
    <w:p w14:paraId="4E84BF8D" w14:textId="77777777" w:rsidR="00DA0120" w:rsidRPr="00DA0120" w:rsidRDefault="00DA0120" w:rsidP="00DA0120">
      <w:pPr>
        <w:pStyle w:val="Listeafsnit"/>
        <w:rPr>
          <w:szCs w:val="24"/>
        </w:rPr>
      </w:pPr>
    </w:p>
    <w:p w14:paraId="2C3226A9" w14:textId="77777777" w:rsidR="00DA0120" w:rsidRPr="00DA0120" w:rsidRDefault="00B06866" w:rsidP="00DA0120">
      <w:pPr>
        <w:numPr>
          <w:ilvl w:val="0"/>
          <w:numId w:val="1"/>
        </w:numPr>
        <w:jc w:val="both"/>
        <w:rPr>
          <w:szCs w:val="24"/>
        </w:rPr>
      </w:pPr>
      <w:r>
        <w:rPr>
          <w:b/>
          <w:bCs/>
          <w:szCs w:val="24"/>
        </w:rPr>
        <w:t>Hvis tiden tillader, kan andre opløsninger af syrer og baser undersøges.</w:t>
      </w:r>
    </w:p>
    <w:p w14:paraId="69245AB8" w14:textId="1B01ED13" w:rsidR="00F64464" w:rsidRDefault="00F64464" w:rsidP="00DA0120">
      <w:pPr>
        <w:ind w:left="720"/>
        <w:jc w:val="both"/>
        <w:rPr>
          <w:szCs w:val="24"/>
        </w:rPr>
      </w:pPr>
      <w:r>
        <w:rPr>
          <w:szCs w:val="24"/>
        </w:rPr>
        <w:t xml:space="preserve"> </w:t>
      </w:r>
    </w:p>
    <w:p w14:paraId="32B93A68" w14:textId="77777777" w:rsidR="00F64464" w:rsidRDefault="00FD16A4">
      <w:pPr>
        <w:pStyle w:val="Brdtekst"/>
        <w:rPr>
          <w:rFonts w:ascii="Times New Roman" w:hAnsi="Times New Roman" w:cs="Times New Roman"/>
          <w:b w:val="0"/>
          <w:bCs w:val="0"/>
        </w:rPr>
      </w:pPr>
      <w:r>
        <w:br w:type="page"/>
      </w:r>
      <w:r w:rsidR="00F64464">
        <w:lastRenderedPageBreak/>
        <w:t>Måleresultater</w:t>
      </w:r>
      <w:r w:rsidR="00F64464">
        <w:br/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1266"/>
        <w:gridCol w:w="2248"/>
        <w:gridCol w:w="2248"/>
        <w:gridCol w:w="1550"/>
      </w:tblGrid>
      <w:tr w:rsidR="00F64464" w14:paraId="062AE2D3" w14:textId="77777777" w:rsidTr="00DA0120">
        <w:tc>
          <w:tcPr>
            <w:tcW w:w="9356" w:type="dxa"/>
            <w:gridSpan w:val="5"/>
          </w:tcPr>
          <w:p w14:paraId="07028166" w14:textId="77777777" w:rsidR="00F64464" w:rsidRPr="00FD16A4" w:rsidRDefault="00F64464" w:rsidP="00FD16A4">
            <w:pPr>
              <w:jc w:val="center"/>
              <w:rPr>
                <w:b/>
              </w:rPr>
            </w:pPr>
            <w:r w:rsidRPr="00FD16A4">
              <w:rPr>
                <w:b/>
              </w:rPr>
              <w:t>Rødkåls indikatorens farve ved forskellige pH værdier</w:t>
            </w:r>
          </w:p>
        </w:tc>
      </w:tr>
      <w:tr w:rsidR="00F64464" w14:paraId="1875D9AF" w14:textId="77777777" w:rsidTr="00DA0120">
        <w:tc>
          <w:tcPr>
            <w:tcW w:w="2044" w:type="dxa"/>
          </w:tcPr>
          <w:p w14:paraId="364C780B" w14:textId="77777777" w:rsidR="00F64464" w:rsidRDefault="00F64464" w:rsidP="00FD16A4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2EA60B19" w14:textId="7BFC9903" w:rsidR="00F64464" w:rsidRPr="00DA0120" w:rsidRDefault="00DA0120" w:rsidP="00FD16A4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0,10 </m:t>
                </m:r>
                <m:r>
                  <m:rPr>
                    <m:sty m:val="p"/>
                  </m:rPr>
                  <w:rPr>
                    <w:rFonts w:ascii="Cambria Math" w:hAnsi="Cambria Math"/>
                    <w:smallCaps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HCl</m:t>
                </m:r>
              </m:oMath>
            </m:oMathPara>
          </w:p>
        </w:tc>
        <w:tc>
          <w:tcPr>
            <w:tcW w:w="2248" w:type="dxa"/>
          </w:tcPr>
          <w:p w14:paraId="33049467" w14:textId="432EFE87" w:rsidR="00F64464" w:rsidRPr="00DA0120" w:rsidRDefault="00F64464" w:rsidP="00FD16A4">
            <w:r w:rsidRPr="00DA0120">
              <w:t>pufferopløsning</w:t>
            </w:r>
            <w:r w:rsidR="00692F1D" w:rsidRPr="00DA0120">
              <w:t xml:space="preserve"> 4</w:t>
            </w:r>
            <w:r w:rsidR="00DA0120">
              <w:t>,00</w:t>
            </w:r>
          </w:p>
        </w:tc>
        <w:tc>
          <w:tcPr>
            <w:tcW w:w="2248" w:type="dxa"/>
          </w:tcPr>
          <w:p w14:paraId="51BDF07C" w14:textId="7FEB5880" w:rsidR="00F64464" w:rsidRPr="00DA0120" w:rsidRDefault="00F64464" w:rsidP="00FD16A4">
            <w:r w:rsidRPr="00DA0120">
              <w:t>pufferopløsning 7</w:t>
            </w:r>
            <w:r w:rsidR="00DA0120">
              <w:t>,00</w:t>
            </w:r>
          </w:p>
        </w:tc>
        <w:tc>
          <w:tcPr>
            <w:tcW w:w="1550" w:type="dxa"/>
          </w:tcPr>
          <w:p w14:paraId="7EBFA04E" w14:textId="3B9E80C1" w:rsidR="00F64464" w:rsidRPr="00DA0120" w:rsidRDefault="00DA0120" w:rsidP="00FD16A4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0,10 </m:t>
                </m:r>
                <m:r>
                  <m:rPr>
                    <m:sty m:val="p"/>
                  </m:rPr>
                  <w:rPr>
                    <w:rFonts w:ascii="Cambria Math" w:hAnsi="Cambria Math"/>
                    <w:smallCaps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NaOH</m:t>
                </m:r>
              </m:oMath>
            </m:oMathPara>
          </w:p>
        </w:tc>
      </w:tr>
      <w:tr w:rsidR="00F64464" w14:paraId="08C05B8D" w14:textId="77777777" w:rsidTr="00DA0120">
        <w:tc>
          <w:tcPr>
            <w:tcW w:w="2044" w:type="dxa"/>
          </w:tcPr>
          <w:p w14:paraId="7C2CC019" w14:textId="77777777" w:rsidR="00F64464" w:rsidRDefault="00F64464" w:rsidP="00FD16A4">
            <w:pPr>
              <w:rPr>
                <w:b/>
                <w:bCs/>
              </w:rPr>
            </w:pPr>
            <w:r>
              <w:rPr>
                <w:b/>
                <w:bCs/>
              </w:rPr>
              <w:t>pH (beregn/aflæs)</w:t>
            </w:r>
          </w:p>
        </w:tc>
        <w:tc>
          <w:tcPr>
            <w:tcW w:w="1266" w:type="dxa"/>
          </w:tcPr>
          <w:p w14:paraId="5BD281C1" w14:textId="77777777" w:rsidR="00F64464" w:rsidRDefault="00F64464" w:rsidP="00FD16A4">
            <w:pPr>
              <w:rPr>
                <w:b/>
                <w:bCs/>
              </w:rPr>
            </w:pPr>
          </w:p>
        </w:tc>
        <w:tc>
          <w:tcPr>
            <w:tcW w:w="2248" w:type="dxa"/>
          </w:tcPr>
          <w:p w14:paraId="35C8C0ED" w14:textId="001B787D" w:rsidR="00F64464" w:rsidRDefault="00692F1D" w:rsidP="00FD16A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A0120">
              <w:rPr>
                <w:b/>
                <w:bCs/>
              </w:rPr>
              <w:t>,0</w:t>
            </w:r>
          </w:p>
        </w:tc>
        <w:tc>
          <w:tcPr>
            <w:tcW w:w="2248" w:type="dxa"/>
          </w:tcPr>
          <w:p w14:paraId="719E0894" w14:textId="77777777" w:rsidR="00F64464" w:rsidRDefault="00F64464" w:rsidP="00FD16A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0" w:type="dxa"/>
          </w:tcPr>
          <w:p w14:paraId="56BC16B7" w14:textId="77777777" w:rsidR="00F64464" w:rsidRDefault="00F64464" w:rsidP="00FD16A4">
            <w:pPr>
              <w:rPr>
                <w:b/>
                <w:bCs/>
              </w:rPr>
            </w:pPr>
          </w:p>
        </w:tc>
      </w:tr>
      <w:tr w:rsidR="00F64464" w14:paraId="1FD70423" w14:textId="77777777" w:rsidTr="00DA0120">
        <w:tc>
          <w:tcPr>
            <w:tcW w:w="2044" w:type="dxa"/>
          </w:tcPr>
          <w:p w14:paraId="5684E75E" w14:textId="77777777" w:rsidR="00F64464" w:rsidRDefault="00F64464" w:rsidP="00FD16A4">
            <w:pPr>
              <w:rPr>
                <w:b/>
                <w:bCs/>
              </w:rPr>
            </w:pPr>
            <w:r>
              <w:rPr>
                <w:b/>
                <w:bCs/>
              </w:rPr>
              <w:t>Indikatorens farve</w:t>
            </w:r>
          </w:p>
        </w:tc>
        <w:tc>
          <w:tcPr>
            <w:tcW w:w="1266" w:type="dxa"/>
          </w:tcPr>
          <w:p w14:paraId="43ACF55D" w14:textId="77777777" w:rsidR="00F64464" w:rsidRDefault="00F64464" w:rsidP="00FD16A4">
            <w:pPr>
              <w:rPr>
                <w:b/>
                <w:bCs/>
              </w:rPr>
            </w:pPr>
          </w:p>
        </w:tc>
        <w:tc>
          <w:tcPr>
            <w:tcW w:w="2248" w:type="dxa"/>
          </w:tcPr>
          <w:p w14:paraId="5D4DC00F" w14:textId="77777777" w:rsidR="00F64464" w:rsidRDefault="00F64464" w:rsidP="00FD16A4">
            <w:pPr>
              <w:rPr>
                <w:b/>
                <w:bCs/>
              </w:rPr>
            </w:pPr>
          </w:p>
        </w:tc>
        <w:tc>
          <w:tcPr>
            <w:tcW w:w="2248" w:type="dxa"/>
          </w:tcPr>
          <w:p w14:paraId="0ACDE009" w14:textId="77777777" w:rsidR="00F64464" w:rsidRDefault="00F64464" w:rsidP="00FD16A4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171871EB" w14:textId="77777777" w:rsidR="00F64464" w:rsidRDefault="00F64464" w:rsidP="00FD16A4">
            <w:pPr>
              <w:rPr>
                <w:b/>
                <w:bCs/>
              </w:rPr>
            </w:pPr>
          </w:p>
        </w:tc>
      </w:tr>
    </w:tbl>
    <w:p w14:paraId="13FA7FFF" w14:textId="77777777" w:rsidR="00DA0120" w:rsidRDefault="00DA0120" w:rsidP="00FD16A4"/>
    <w:tbl>
      <w:tblPr>
        <w:tblW w:w="5000" w:type="pct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5"/>
        <w:gridCol w:w="3114"/>
        <w:gridCol w:w="3115"/>
      </w:tblGrid>
      <w:tr w:rsidR="00F64464" w14:paraId="2563A1A2" w14:textId="77777777" w:rsidTr="00DA0120">
        <w:trPr>
          <w:cantSplit/>
          <w:trHeight w:val="403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9B3152" w14:textId="7B21339E" w:rsidR="00F64464" w:rsidRDefault="00DA0120" w:rsidP="00DA0120">
            <w:pPr>
              <w:jc w:val="center"/>
              <w:rPr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en-GB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NaOH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/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mol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7BFFC17" w14:textId="29A9E50D" w:rsidR="00F64464" w:rsidRDefault="00DA0120" w:rsidP="00DA0120">
            <w:pPr>
              <w:jc w:val="center"/>
              <w:rPr>
                <w:szCs w:val="24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de-DE"/>
                  </w:rPr>
                  <m:t>V(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de-DE"/>
                  </w:rPr>
                  <m:t>NaOH</m:t>
                </m:r>
                <m:r>
                  <w:rPr>
                    <w:rFonts w:ascii="Cambria Math" w:hAnsi="Cambria Math"/>
                    <w:szCs w:val="24"/>
                    <w:lang w:val="de-DE"/>
                  </w:rPr>
                  <m:t>)/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de-DE"/>
                  </w:rPr>
                  <m:t>mL</m:t>
                </m:r>
              </m:oMath>
            </m:oMathPara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6EE60" w14:textId="3F473929" w:rsidR="00F64464" w:rsidRDefault="00233822" w:rsidP="00DA0120">
            <w:pPr>
              <w:jc w:val="center"/>
              <w:rPr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en-GB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HCl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mL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</m:t>
                </m:r>
              </m:oMath>
            </m:oMathPara>
          </w:p>
        </w:tc>
      </w:tr>
      <w:tr w:rsidR="00F64464" w14:paraId="36C3E6EA" w14:textId="77777777" w:rsidTr="00DA0120">
        <w:trPr>
          <w:cantSplit/>
          <w:trHeight w:val="403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3C85A3" w14:textId="25F3C8A9" w:rsidR="00F64464" w:rsidRDefault="00F64464" w:rsidP="00DA0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0,100 </w:t>
            </w:r>
            <w:r w:rsidR="00DA0120" w:rsidRPr="00DA0120">
              <w:rPr>
                <w:smallCaps/>
                <w:szCs w:val="24"/>
              </w:rPr>
              <w:t>m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DFAA7C" w14:textId="77777777" w:rsidR="00F64464" w:rsidRDefault="00F64464" w:rsidP="00DA0120">
            <w:pPr>
              <w:jc w:val="center"/>
              <w:rPr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4304" w14:textId="3DC02604" w:rsidR="00F64464" w:rsidRDefault="00652AE4" w:rsidP="00DA0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64464">
              <w:rPr>
                <w:szCs w:val="24"/>
              </w:rPr>
              <w:t>,00</w:t>
            </w:r>
            <w:r w:rsidR="00233822">
              <w:rPr>
                <w:szCs w:val="24"/>
              </w:rPr>
              <w:t xml:space="preserve"> mL</w:t>
            </w:r>
          </w:p>
        </w:tc>
      </w:tr>
    </w:tbl>
    <w:p w14:paraId="147E7F85" w14:textId="77777777" w:rsidR="00F64464" w:rsidRDefault="00F64464">
      <w:pPr>
        <w:rPr>
          <w:szCs w:val="24"/>
        </w:rPr>
      </w:pPr>
    </w:p>
    <w:p w14:paraId="53EEC2FE" w14:textId="77777777" w:rsidR="00F64464" w:rsidRDefault="00F64464">
      <w:pPr>
        <w:rPr>
          <w:szCs w:val="24"/>
        </w:rPr>
      </w:pPr>
      <w:r>
        <w:rPr>
          <w:szCs w:val="24"/>
        </w:rPr>
        <w:t>Indikatorens farve ved titreringen (beskriv):</w:t>
      </w:r>
    </w:p>
    <w:p w14:paraId="09BB7487" w14:textId="77777777" w:rsidR="00F64464" w:rsidRDefault="00F64464">
      <w:pPr>
        <w:rPr>
          <w:szCs w:val="24"/>
        </w:rPr>
      </w:pPr>
    </w:p>
    <w:p w14:paraId="777201E2" w14:textId="77777777" w:rsidR="00F64464" w:rsidRDefault="00F64464">
      <w:pPr>
        <w:pStyle w:val="Overskrift1"/>
      </w:pPr>
      <w:r w:rsidRPr="00233822">
        <w:rPr>
          <w:sz w:val="22"/>
          <w:szCs w:val="22"/>
        </w:rPr>
        <w:t>Beregninger/diskussion</w:t>
      </w:r>
      <w:r w:rsidRPr="00233822">
        <w:rPr>
          <w:sz w:val="22"/>
          <w:szCs w:val="22"/>
        </w:rPr>
        <w:br/>
      </w:r>
    </w:p>
    <w:p w14:paraId="2109BFA2" w14:textId="77777777" w:rsidR="00233822" w:rsidRDefault="00F64464" w:rsidP="0023382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Hvorfor kan rødkålsopløsningen benyttes som syre-base indikator?</w:t>
      </w:r>
    </w:p>
    <w:p w14:paraId="6BBF26B2" w14:textId="0E097B60" w:rsidR="00F64464" w:rsidRDefault="00F64464" w:rsidP="00233822">
      <w:pPr>
        <w:ind w:left="720"/>
        <w:jc w:val="both"/>
        <w:rPr>
          <w:szCs w:val="24"/>
        </w:rPr>
      </w:pPr>
    </w:p>
    <w:p w14:paraId="1F3C7493" w14:textId="470DB5FC" w:rsidR="00F64464" w:rsidRDefault="00F64464" w:rsidP="0023382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Hvorfor ses et farveskift fra rødlig farve til blågrøn farve ved ækvivalenspunktet?</w:t>
      </w:r>
    </w:p>
    <w:p w14:paraId="70F7A73E" w14:textId="77777777" w:rsidR="00233822" w:rsidRDefault="00233822" w:rsidP="00233822">
      <w:pPr>
        <w:pStyle w:val="Listeafsnit"/>
        <w:rPr>
          <w:szCs w:val="24"/>
        </w:rPr>
      </w:pPr>
    </w:p>
    <w:p w14:paraId="5EB66376" w14:textId="77777777" w:rsidR="00233822" w:rsidRDefault="00F64464" w:rsidP="0023382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Hvilke andre syre-baseindikatorer kunne man have benyttet? </w:t>
      </w:r>
      <w:r w:rsidR="00B06866">
        <w:rPr>
          <w:szCs w:val="24"/>
        </w:rPr>
        <w:t xml:space="preserve">Er </w:t>
      </w:r>
      <w:r>
        <w:rPr>
          <w:szCs w:val="24"/>
        </w:rPr>
        <w:t>en rødkålsopløsning svær at benytte som syre-baseindikator?</w:t>
      </w:r>
    </w:p>
    <w:p w14:paraId="16127F56" w14:textId="77777777" w:rsidR="00233822" w:rsidRDefault="00233822" w:rsidP="00233822">
      <w:pPr>
        <w:pStyle w:val="Listeafsnit"/>
        <w:rPr>
          <w:szCs w:val="24"/>
        </w:rPr>
      </w:pPr>
    </w:p>
    <w:p w14:paraId="55910C3C" w14:textId="77777777" w:rsidR="00F64464" w:rsidRDefault="00F64464" w:rsidP="0023382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Beregn saltsyreopløsningens koncentration (benyt eventuelt et skema. </w:t>
      </w:r>
      <w:r>
        <w:rPr>
          <w:b/>
          <w:bCs/>
          <w:szCs w:val="24"/>
        </w:rPr>
        <w:t>HUSK</w:t>
      </w:r>
      <w:r>
        <w:rPr>
          <w:szCs w:val="24"/>
        </w:rPr>
        <w:t xml:space="preserve"> at vise alle trin i beregninger).</w:t>
      </w:r>
      <w:r>
        <w:rPr>
          <w:szCs w:val="24"/>
        </w:rPr>
        <w:br/>
      </w:r>
    </w:p>
    <w:p w14:paraId="676F54E3" w14:textId="77777777" w:rsidR="00F64464" w:rsidRDefault="00F6446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Konklusion</w:t>
      </w:r>
    </w:p>
    <w:sectPr w:rsidR="00F64464">
      <w:footnotePr>
        <w:numRestart w:val="eachSect"/>
      </w:footnotePr>
      <w:endnotePr>
        <w:numFmt w:val="decimal"/>
      </w:endnotePr>
      <w:type w:val="continuous"/>
      <w:pgSz w:w="12240" w:h="15840"/>
      <w:pgMar w:top="1701" w:right="1440" w:bottom="170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6AA"/>
    <w:multiLevelType w:val="hybridMultilevel"/>
    <w:tmpl w:val="ACAE01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B6B"/>
    <w:multiLevelType w:val="hybridMultilevel"/>
    <w:tmpl w:val="4546007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7E7DB7"/>
    <w:multiLevelType w:val="hybridMultilevel"/>
    <w:tmpl w:val="471093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B062C"/>
    <w:multiLevelType w:val="hybridMultilevel"/>
    <w:tmpl w:val="F28EFA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6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326D5"/>
    <w:multiLevelType w:val="hybridMultilevel"/>
    <w:tmpl w:val="6A8051B4"/>
    <w:lvl w:ilvl="0" w:tplc="19728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0A6D14"/>
    <w:multiLevelType w:val="hybridMultilevel"/>
    <w:tmpl w:val="DBC48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575639">
    <w:abstractNumId w:val="3"/>
  </w:num>
  <w:num w:numId="2" w16cid:durableId="2139764901">
    <w:abstractNumId w:val="1"/>
  </w:num>
  <w:num w:numId="3" w16cid:durableId="1242987781">
    <w:abstractNumId w:val="4"/>
  </w:num>
  <w:num w:numId="4" w16cid:durableId="1654142437">
    <w:abstractNumId w:val="0"/>
  </w:num>
  <w:num w:numId="5" w16cid:durableId="442264198">
    <w:abstractNumId w:val="2"/>
  </w:num>
  <w:num w:numId="6" w16cid:durableId="1894847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1D"/>
    <w:rsid w:val="00233822"/>
    <w:rsid w:val="00305F3F"/>
    <w:rsid w:val="00652AE4"/>
    <w:rsid w:val="00692F1D"/>
    <w:rsid w:val="007F16B3"/>
    <w:rsid w:val="00964AC1"/>
    <w:rsid w:val="00A51856"/>
    <w:rsid w:val="00A57D5E"/>
    <w:rsid w:val="00B06866"/>
    <w:rsid w:val="00B1181B"/>
    <w:rsid w:val="00BE6AC7"/>
    <w:rsid w:val="00CC2716"/>
    <w:rsid w:val="00DA0120"/>
    <w:rsid w:val="00F64464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53E44"/>
  <w15:chartTrackingRefBased/>
  <w15:docId w15:val="{4C0561BF-15A6-40AC-8E53-5731C06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6A4"/>
    <w:pPr>
      <w:widowControl w:val="0"/>
      <w:autoSpaceDE w:val="0"/>
      <w:autoSpaceDN w:val="0"/>
      <w:adjustRightInd w:val="0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spacing w:before="100" w:beforeAutospacing="1"/>
      <w:jc w:val="center"/>
    </w:pPr>
    <w:rPr>
      <w:rFonts w:ascii="Arial" w:hAnsi="Arial" w:cs="Arial"/>
      <w:b/>
      <w:bCs/>
      <w:sz w:val="30"/>
      <w:szCs w:val="30"/>
    </w:rPr>
  </w:style>
  <w:style w:type="paragraph" w:styleId="Brdtekstindrykning">
    <w:name w:val="Body Text Indent"/>
    <w:basedOn w:val="Normal"/>
    <w:pPr>
      <w:ind w:left="720"/>
    </w:pPr>
    <w:rPr>
      <w:rFonts w:ascii="Times New Roman" w:hAnsi="Times New Roman"/>
      <w:sz w:val="24"/>
      <w:szCs w:val="24"/>
    </w:rPr>
  </w:style>
  <w:style w:type="paragraph" w:styleId="Brdtekst">
    <w:name w:val="Body Text"/>
    <w:basedOn w:val="Normal"/>
    <w:rPr>
      <w:rFonts w:ascii="Arial" w:hAnsi="Arial" w:cs="Arial"/>
      <w:b/>
      <w:bCs/>
      <w:sz w:val="24"/>
      <w:szCs w:val="24"/>
    </w:rPr>
  </w:style>
  <w:style w:type="paragraph" w:styleId="Billedtekst">
    <w:name w:val="caption"/>
    <w:basedOn w:val="Normal"/>
    <w:next w:val="Normal"/>
    <w:qFormat/>
    <w:pPr>
      <w:autoSpaceDE/>
      <w:autoSpaceDN/>
      <w:adjustRightInd/>
      <w:spacing w:before="120" w:after="120"/>
    </w:pPr>
    <w:rPr>
      <w:rFonts w:ascii="Courier" w:hAnsi="Courier"/>
      <w:b/>
      <w:snapToGrid w:val="0"/>
      <w:sz w:val="24"/>
      <w:lang w:val="en-US"/>
    </w:rPr>
  </w:style>
  <w:style w:type="paragraph" w:styleId="Listeafsnit">
    <w:name w:val="List Paragraph"/>
    <w:basedOn w:val="Normal"/>
    <w:uiPriority w:val="34"/>
    <w:qFormat/>
    <w:rsid w:val="00DA0120"/>
    <w:pPr>
      <w:ind w:left="720"/>
      <w:contextualSpacing/>
    </w:pPr>
  </w:style>
  <w:style w:type="table" w:styleId="Tabel-Gitter">
    <w:name w:val="Table Grid"/>
    <w:basedOn w:val="Tabel-Normal"/>
    <w:rsid w:val="00DA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D101555651E46BDCF4A76DAFBDAE2" ma:contentTypeVersion="2" ma:contentTypeDescription="Opret et nyt dokument." ma:contentTypeScope="" ma:versionID="cbfb162221c7154332797513cae6fe3b">
  <xsd:schema xmlns:xsd="http://www.w3.org/2001/XMLSchema" xmlns:xs="http://www.w3.org/2001/XMLSchema" xmlns:p="http://schemas.microsoft.com/office/2006/metadata/properties" xmlns:ns2="84194c36-a0d5-4d25-8f27-c6bfd7d2c546" targetNamespace="http://schemas.microsoft.com/office/2006/metadata/properties" ma:root="true" ma:fieldsID="b522099a7175a151602040a2b92ab118" ns2:_="">
    <xsd:import namespace="84194c36-a0d5-4d25-8f27-c6bfd7d2c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4c36-a0d5-4d25-8f27-c6bfd7d2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D78B8-0F3B-4B3A-94D2-903C9AB95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8C5FB-EEBD-43B2-B4BB-13DA9C83D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4c36-a0d5-4d25-8f27-c6bfd7d2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51F87-60DD-4B26-8F34-E4489BF3C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766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Eddikesyreindholdet i husholdningseddike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Eddikesyreindholdet i husholdningseddike</dc:title>
  <dc:subject/>
  <dc:creator>Keld Nielsen</dc:creator>
  <cp:keywords/>
  <dc:description/>
  <cp:lastModifiedBy>Anders Almlund Osted</cp:lastModifiedBy>
  <cp:revision>4</cp:revision>
  <dcterms:created xsi:type="dcterms:W3CDTF">2022-11-23T13:09:00Z</dcterms:created>
  <dcterms:modified xsi:type="dcterms:W3CDTF">2024-11-28T19:05:00Z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0x010100354D101555651E46BDCF4A76DAFBDAE2</vt:lpwstr>
  </property>
</Properties>
</file>