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2D58" w14:textId="5826623A" w:rsidR="008F76F9" w:rsidRDefault="008F76F9" w:rsidP="008F76F9">
      <w:pPr>
        <w:pStyle w:val="Titel"/>
        <w:spacing w:before="0" w:beforeAutospacing="0"/>
      </w:pPr>
      <w:r>
        <w:t>Syre-baseindikatorers farver</w:t>
      </w:r>
      <w:r w:rsidR="002E68EC">
        <w:t xml:space="preserve"> og brug ved kolorimetrisk titrering</w:t>
      </w:r>
    </w:p>
    <w:p w14:paraId="539323A2" w14:textId="77777777" w:rsidR="00AD7689" w:rsidRDefault="00AD7689" w:rsidP="008F76F9">
      <w:pPr>
        <w:pStyle w:val="Titel"/>
        <w:spacing w:before="0" w:beforeAutospacing="0"/>
      </w:pPr>
    </w:p>
    <w:p w14:paraId="71C06534" w14:textId="77777777" w:rsidR="008F76F9" w:rsidRDefault="008F76F9" w:rsidP="008F76F9">
      <w:pPr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Journaløvelse</w:t>
      </w:r>
    </w:p>
    <w:p w14:paraId="7CF76CBB" w14:textId="77777777" w:rsidR="008F76F9" w:rsidRDefault="008F76F9" w:rsidP="008F76F9">
      <w:pPr>
        <w:pStyle w:val="Overskrift1"/>
      </w:pPr>
      <w:r>
        <w:t xml:space="preserve">Formål </w:t>
      </w:r>
    </w:p>
    <w:p w14:paraId="3B13310E" w14:textId="77777777" w:rsidR="008F76F9" w:rsidRDefault="008F76F9" w:rsidP="003D6617">
      <w:pPr>
        <w:jc w:val="both"/>
        <w:rPr>
          <w:szCs w:val="24"/>
        </w:rPr>
      </w:pPr>
      <w:r>
        <w:rPr>
          <w:szCs w:val="24"/>
        </w:rPr>
        <w:t xml:space="preserve">Formålet er at iagttage tre syre-baseindikatorers farver i opløsninger med forskellig </w:t>
      </w:r>
      <w:r w:rsidR="00B62913">
        <w:rPr>
          <w:szCs w:val="24"/>
        </w:rPr>
        <w:t>pH-værdier</w:t>
      </w:r>
      <w:r w:rsidR="00A07D12">
        <w:rPr>
          <w:szCs w:val="24"/>
        </w:rPr>
        <w:t>, og undersøge betydningen af valg af syre-baseindikatorer ved kolorimetrisk syre-basetitrering</w:t>
      </w:r>
      <w:r>
        <w:rPr>
          <w:szCs w:val="24"/>
        </w:rPr>
        <w:t>.</w:t>
      </w:r>
    </w:p>
    <w:p w14:paraId="6A4DA7F2" w14:textId="77777777" w:rsidR="008F76F9" w:rsidRDefault="008F76F9" w:rsidP="008F76F9">
      <w:pPr>
        <w:rPr>
          <w:szCs w:val="24"/>
        </w:rPr>
      </w:pPr>
    </w:p>
    <w:p w14:paraId="4030E227" w14:textId="77777777" w:rsidR="008F76F9" w:rsidRDefault="008F76F9" w:rsidP="008F76F9">
      <w:pPr>
        <w:pStyle w:val="Overskrift1"/>
      </w:pPr>
      <w:r>
        <w:t xml:space="preserve">Teori </w:t>
      </w:r>
    </w:p>
    <w:p w14:paraId="2E60D9F2" w14:textId="77777777" w:rsidR="007C2C3D" w:rsidRDefault="008F76F9" w:rsidP="003D6617">
      <w:pPr>
        <w:jc w:val="both"/>
        <w:rPr>
          <w:szCs w:val="24"/>
        </w:rPr>
      </w:pPr>
      <w:r>
        <w:rPr>
          <w:szCs w:val="24"/>
        </w:rPr>
        <w:t>Et kemisk stof, hvis farve afhænger af en opløsnings surheds</w:t>
      </w:r>
      <w:r w:rsidR="00EE1D35">
        <w:rPr>
          <w:szCs w:val="24"/>
        </w:rPr>
        <w:t>grad (pH værdien), kan anvendes som syre-baseindikator. I praksis skal farveskiftet dels være så tydeligt</w:t>
      </w:r>
      <w:r w:rsidR="00B62913">
        <w:rPr>
          <w:szCs w:val="24"/>
        </w:rPr>
        <w:t>,</w:t>
      </w:r>
      <w:r w:rsidR="00575D4D">
        <w:rPr>
          <w:szCs w:val="24"/>
        </w:rPr>
        <w:t xml:space="preserve"> at farveskiftet nemt kan iagttages</w:t>
      </w:r>
      <w:r w:rsidR="00EE1D35">
        <w:rPr>
          <w:szCs w:val="24"/>
        </w:rPr>
        <w:t xml:space="preserve">, og dels være i et snævert pH-område. </w:t>
      </w:r>
      <w:r w:rsidR="00575D4D">
        <w:rPr>
          <w:szCs w:val="24"/>
        </w:rPr>
        <w:t>Der kendes en del plantefarver, som kan benyttes som syre-baseindikatorer, fx farvestoffet i rødkål, men ofte anvendes syntetisk fremstillet syre-base</w:t>
      </w:r>
      <w:r w:rsidR="007C2C3D">
        <w:rPr>
          <w:szCs w:val="24"/>
        </w:rPr>
        <w:t>indikatorer, som fx</w:t>
      </w:r>
      <w:r w:rsidR="008E7A2E">
        <w:rPr>
          <w:szCs w:val="24"/>
        </w:rPr>
        <w:t xml:space="preserve"> </w:t>
      </w:r>
      <w:proofErr w:type="spellStart"/>
      <w:r w:rsidR="008E7A2E">
        <w:rPr>
          <w:szCs w:val="24"/>
        </w:rPr>
        <w:t>methylrødt</w:t>
      </w:r>
      <w:proofErr w:type="spellEnd"/>
      <w:r w:rsidR="008E7A2E">
        <w:rPr>
          <w:szCs w:val="24"/>
        </w:rPr>
        <w:t xml:space="preserve"> og </w:t>
      </w:r>
      <w:proofErr w:type="spellStart"/>
      <w:r w:rsidR="008E7A2E">
        <w:rPr>
          <w:szCs w:val="24"/>
        </w:rPr>
        <w:t>phenolphthalein</w:t>
      </w:r>
      <w:proofErr w:type="spellEnd"/>
      <w:r w:rsidR="008E7A2E">
        <w:rPr>
          <w:szCs w:val="24"/>
        </w:rPr>
        <w:t>.</w:t>
      </w:r>
    </w:p>
    <w:p w14:paraId="5495E258" w14:textId="77777777" w:rsidR="007C2C3D" w:rsidRDefault="007C2C3D" w:rsidP="003D6617">
      <w:pPr>
        <w:jc w:val="both"/>
        <w:rPr>
          <w:szCs w:val="24"/>
        </w:rPr>
      </w:pPr>
    </w:p>
    <w:p w14:paraId="1519241C" w14:textId="40A85391" w:rsidR="00ED547D" w:rsidRDefault="007C2C3D" w:rsidP="003D6617">
      <w:pPr>
        <w:jc w:val="both"/>
        <w:rPr>
          <w:szCs w:val="24"/>
        </w:rPr>
      </w:pPr>
      <w:r>
        <w:rPr>
          <w:szCs w:val="24"/>
        </w:rPr>
        <w:t xml:space="preserve">Syre-baseindikatorer er selv svage syrer. Afhængig af </w:t>
      </w:r>
      <w:r w:rsidR="00B62913">
        <w:rPr>
          <w:szCs w:val="24"/>
        </w:rPr>
        <w:t>pH-værdien</w:t>
      </w:r>
      <w:r>
        <w:rPr>
          <w:szCs w:val="24"/>
        </w:rPr>
        <w:t xml:space="preserve"> i en opløsning vil syre-baseindikatoren ændre lidt i dets kemiske struktur</w:t>
      </w:r>
      <w:r w:rsidR="008B513D">
        <w:rPr>
          <w:szCs w:val="24"/>
        </w:rPr>
        <w:t>, således</w:t>
      </w:r>
      <w:r>
        <w:rPr>
          <w:szCs w:val="24"/>
        </w:rPr>
        <w:t xml:space="preserve"> at lys absorberes (optages) på lidt forskellige bølgelængder. Herved kan de forskellige kemiske opbygninger give årsag til forskellige farvede opløsninger. På figur 1 er princippet illustreret med </w:t>
      </w:r>
      <w:proofErr w:type="spellStart"/>
      <w:r>
        <w:rPr>
          <w:szCs w:val="24"/>
        </w:rPr>
        <w:t>phenolphthalein</w:t>
      </w:r>
      <w:proofErr w:type="spellEnd"/>
      <w:r>
        <w:rPr>
          <w:szCs w:val="24"/>
        </w:rPr>
        <w:t>.</w:t>
      </w:r>
    </w:p>
    <w:p w14:paraId="718C24F6" w14:textId="2631088B" w:rsidR="00115831" w:rsidRPr="00014B50" w:rsidRDefault="00014B50" w:rsidP="00014B50">
      <w:pPr>
        <w:jc w:val="both"/>
        <w:rPr>
          <w:szCs w:val="24"/>
        </w:rPr>
      </w:pPr>
      <w:r w:rsidRPr="00014B50">
        <w:rPr>
          <w:noProof/>
          <w:szCs w:val="24"/>
        </w:rPr>
        <w:drawing>
          <wp:inline distT="0" distB="0" distL="0" distR="0" wp14:anchorId="30F04369" wp14:editId="6D34292B">
            <wp:extent cx="6120130" cy="242062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2E775" w14:textId="77777777" w:rsidR="007C2C3D" w:rsidRDefault="00115831" w:rsidP="003D6617">
      <w:pPr>
        <w:pStyle w:val="Billedtekst"/>
        <w:jc w:val="both"/>
        <w:rPr>
          <w:szCs w:val="24"/>
        </w:rPr>
      </w:pPr>
      <w:r>
        <w:t xml:space="preserve">Figur </w:t>
      </w:r>
      <w:fldSimple w:instr=" SEQ Figur \* ARABIC ">
        <w:r w:rsidR="000C0B32">
          <w:rPr>
            <w:noProof/>
          </w:rPr>
          <w:t>1</w:t>
        </w:r>
      </w:fldSimple>
      <w:r>
        <w:t xml:space="preserve">: Syre-baseindikatoren </w:t>
      </w:r>
      <w:proofErr w:type="spellStart"/>
      <w:r>
        <w:t>phenolphthalein</w:t>
      </w:r>
      <w:proofErr w:type="spellEnd"/>
    </w:p>
    <w:p w14:paraId="5B263CB5" w14:textId="77777777" w:rsidR="00115831" w:rsidRDefault="00115831" w:rsidP="003D6617">
      <w:pPr>
        <w:jc w:val="both"/>
        <w:rPr>
          <w:szCs w:val="24"/>
        </w:rPr>
      </w:pPr>
    </w:p>
    <w:p w14:paraId="64F3D759" w14:textId="77777777" w:rsidR="008B513D" w:rsidRDefault="008B513D" w:rsidP="003D6617">
      <w:pPr>
        <w:jc w:val="both"/>
        <w:rPr>
          <w:szCs w:val="24"/>
        </w:rPr>
      </w:pPr>
      <w:r>
        <w:rPr>
          <w:szCs w:val="24"/>
        </w:rPr>
        <w:t xml:space="preserve">Syre-baseindikatorer kan anvendes til at give et godt bud på en opløsnings </w:t>
      </w:r>
      <w:r w:rsidR="00B62913">
        <w:rPr>
          <w:szCs w:val="24"/>
        </w:rPr>
        <w:t>pH-værdi</w:t>
      </w:r>
      <w:r>
        <w:rPr>
          <w:szCs w:val="24"/>
        </w:rPr>
        <w:t>, som det fx kendes fra universalindikatorpapir</w:t>
      </w:r>
      <w:r>
        <w:rPr>
          <w:rStyle w:val="Fodnotehenvisning"/>
          <w:szCs w:val="24"/>
        </w:rPr>
        <w:footnoteReference w:id="1"/>
      </w:r>
      <w:r>
        <w:rPr>
          <w:szCs w:val="24"/>
        </w:rPr>
        <w:t>. Men den vigtigste anvendelse af syre-baseindikatorer sker ved kolorimetrisk syre-basetitrering</w:t>
      </w:r>
      <w:r w:rsidR="00C57CF5">
        <w:rPr>
          <w:rStyle w:val="Fodnotehenvisning"/>
          <w:szCs w:val="24"/>
        </w:rPr>
        <w:footnoteReference w:id="2"/>
      </w:r>
      <w:r>
        <w:rPr>
          <w:szCs w:val="24"/>
        </w:rPr>
        <w:t xml:space="preserve">. </w:t>
      </w:r>
      <w:r w:rsidR="008A642C">
        <w:rPr>
          <w:szCs w:val="24"/>
        </w:rPr>
        <w:t>Ved den kolorimetriske titrering skal ækvivalenspunktet bestemmes, og dette gøres ved at observere et farveskift i opløsningen. Farveskiftet skyldes</w:t>
      </w:r>
      <w:r w:rsidR="008E7A2E">
        <w:rPr>
          <w:szCs w:val="24"/>
        </w:rPr>
        <w:t>,</w:t>
      </w:r>
      <w:r w:rsidR="008A642C">
        <w:rPr>
          <w:szCs w:val="24"/>
        </w:rPr>
        <w:t xml:space="preserve"> at syre-b</w:t>
      </w:r>
      <w:r w:rsidR="008E7A2E">
        <w:rPr>
          <w:szCs w:val="24"/>
        </w:rPr>
        <w:t>aseindikatoren skifter struktur</w:t>
      </w:r>
      <w:r w:rsidR="008A642C">
        <w:rPr>
          <w:szCs w:val="24"/>
        </w:rPr>
        <w:t xml:space="preserve"> og derved farve (opløsningen farve ændres herved). Ækvivalenspunktet skal herefter benyttes til at bestemme </w:t>
      </w:r>
      <w:r w:rsidR="006613F0">
        <w:rPr>
          <w:szCs w:val="24"/>
        </w:rPr>
        <w:t>koncentrationen af en syre eller en base.</w:t>
      </w:r>
    </w:p>
    <w:p w14:paraId="79996B3D" w14:textId="77777777" w:rsidR="006613F0" w:rsidRDefault="006613F0" w:rsidP="003D6617">
      <w:pPr>
        <w:jc w:val="both"/>
        <w:rPr>
          <w:szCs w:val="24"/>
        </w:rPr>
      </w:pPr>
    </w:p>
    <w:p w14:paraId="0DB3F14F" w14:textId="515D59C9" w:rsidR="00E52D02" w:rsidRDefault="006613F0" w:rsidP="003D6617">
      <w:pPr>
        <w:jc w:val="both"/>
        <w:rPr>
          <w:szCs w:val="24"/>
        </w:rPr>
      </w:pPr>
      <w:r>
        <w:rPr>
          <w:szCs w:val="24"/>
        </w:rPr>
        <w:t xml:space="preserve">Syre-baseindikatorerne </w:t>
      </w:r>
      <w:r w:rsidR="00E52D02">
        <w:rPr>
          <w:szCs w:val="24"/>
        </w:rPr>
        <w:t xml:space="preserve">er som sagt svage syrer. Deres styrke som svag syre kan angives ved deres </w:t>
      </w:r>
      <m:oMath>
        <m:r>
          <m:rPr>
            <m:sty m:val="p"/>
          </m:rPr>
          <w:rPr>
            <w:rFonts w:ascii="Cambria Math" w:hAnsi="Cambria Math"/>
            <w:szCs w:val="24"/>
          </w:rPr>
          <m:t>p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s</m:t>
            </m:r>
          </m:sub>
        </m:sSub>
      </m:oMath>
      <w:r w:rsidR="00E52D02">
        <w:rPr>
          <w:szCs w:val="24"/>
        </w:rPr>
        <w:t xml:space="preserve"> værdi (syre</w:t>
      </w:r>
      <w:r w:rsidR="0004415D">
        <w:rPr>
          <w:szCs w:val="24"/>
        </w:rPr>
        <w:t xml:space="preserve">ns </w:t>
      </w:r>
      <w:r w:rsidR="00E52D02">
        <w:rPr>
          <w:szCs w:val="24"/>
        </w:rPr>
        <w:t xml:space="preserve">styrkeeksponent). Jo større dette tal er, jo svagere er syren. En syre-baseindikator vil normalt have et farveskrift i et </w:t>
      </w:r>
      <m:oMath>
        <m:r>
          <m:rPr>
            <m:sty m:val="p"/>
          </m:rPr>
          <w:rPr>
            <w:rFonts w:ascii="Cambria Math" w:hAnsi="Cambria Math"/>
            <w:szCs w:val="24"/>
          </w:rPr>
          <m:t>pH</m:t>
        </m:r>
      </m:oMath>
      <w:r w:rsidR="00E52D02">
        <w:rPr>
          <w:szCs w:val="24"/>
        </w:rPr>
        <w:t xml:space="preserve">-interval omkring syrens </w:t>
      </w:r>
      <m:oMath>
        <m:r>
          <m:rPr>
            <m:sty m:val="p"/>
          </m:rPr>
          <w:rPr>
            <w:rFonts w:ascii="Cambria Math" w:hAnsi="Cambria Math"/>
            <w:szCs w:val="24"/>
          </w:rPr>
          <m:t>p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s</m:t>
            </m:r>
          </m:sub>
        </m:sSub>
      </m:oMath>
      <w:r w:rsidR="00E52D02">
        <w:rPr>
          <w:szCs w:val="24"/>
        </w:rPr>
        <w:t xml:space="preserve"> værdi: </w:t>
      </w:r>
    </w:p>
    <w:p w14:paraId="4B3D17C6" w14:textId="38283EBF" w:rsidR="00E52D02" w:rsidRDefault="00E52D02" w:rsidP="003D6617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farve 1, når opløsningens </w:t>
      </w:r>
      <m:oMath>
        <m:r>
          <m:rPr>
            <m:sty m:val="p"/>
          </m:rPr>
          <w:rPr>
            <w:rFonts w:ascii="Cambria Math" w:hAnsi="Cambria Math"/>
            <w:szCs w:val="24"/>
          </w:rPr>
          <m:t>pH</m:t>
        </m:r>
      </m:oMath>
      <w:r w:rsidR="002937C8">
        <w:rPr>
          <w:szCs w:val="24"/>
        </w:rPr>
        <w:t>-</w:t>
      </w:r>
      <w:r>
        <w:rPr>
          <w:szCs w:val="24"/>
        </w:rPr>
        <w:t xml:space="preserve">værdi er mindre end </w:t>
      </w:r>
      <m:oMath>
        <m:r>
          <m:rPr>
            <m:sty m:val="p"/>
          </m:rPr>
          <w:rPr>
            <w:rFonts w:ascii="Cambria Math" w:hAnsi="Cambria Math"/>
            <w:szCs w:val="24"/>
          </w:rPr>
          <m:t>p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s</m:t>
            </m:r>
          </m:sub>
        </m:sSub>
        <m:r>
          <w:rPr>
            <w:rFonts w:ascii="Cambria Math" w:hAnsi="Cambria Math"/>
            <w:szCs w:val="24"/>
          </w:rPr>
          <m:t>-1</m:t>
        </m:r>
      </m:oMath>
    </w:p>
    <w:p w14:paraId="01C5E9FD" w14:textId="2DC0B0A2" w:rsidR="006613F0" w:rsidRDefault="00E52D02" w:rsidP="003D6617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farve 2, når opløsningens </w:t>
      </w:r>
      <m:oMath>
        <m:r>
          <m:rPr>
            <m:sty m:val="p"/>
          </m:rPr>
          <w:rPr>
            <w:rFonts w:ascii="Cambria Math" w:hAnsi="Cambria Math"/>
            <w:szCs w:val="24"/>
          </w:rPr>
          <m:t>pH</m:t>
        </m:r>
      </m:oMath>
      <w:r w:rsidR="002937C8">
        <w:rPr>
          <w:szCs w:val="24"/>
        </w:rPr>
        <w:t>-</w:t>
      </w:r>
      <w:r>
        <w:rPr>
          <w:szCs w:val="24"/>
        </w:rPr>
        <w:t xml:space="preserve">værdi er større end </w:t>
      </w:r>
      <m:oMath>
        <m:r>
          <m:rPr>
            <m:sty m:val="p"/>
          </m:rPr>
          <w:rPr>
            <w:rFonts w:ascii="Cambria Math" w:hAnsi="Cambria Math"/>
            <w:szCs w:val="24"/>
          </w:rPr>
          <m:t>p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s</m:t>
            </m:r>
          </m:sub>
        </m:sSub>
        <m:r>
          <w:rPr>
            <w:rFonts w:ascii="Cambria Math" w:hAnsi="Cambria Math"/>
            <w:szCs w:val="24"/>
          </w:rPr>
          <m:t>+1</m:t>
        </m:r>
      </m:oMath>
    </w:p>
    <w:p w14:paraId="20AE4755" w14:textId="6BC5F531" w:rsidR="00E52D02" w:rsidRDefault="008E7A2E" w:rsidP="003D6617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lastRenderedPageBreak/>
        <w:t>e</w:t>
      </w:r>
      <w:r w:rsidR="00E52D02">
        <w:rPr>
          <w:szCs w:val="24"/>
        </w:rPr>
        <w:t xml:space="preserve">n blanding mellem de to farver, når </w:t>
      </w:r>
      <m:oMath>
        <m:r>
          <m:rPr>
            <m:sty m:val="p"/>
          </m:rPr>
          <w:rPr>
            <w:rFonts w:ascii="Cambria Math" w:hAnsi="Cambria Math"/>
            <w:szCs w:val="24"/>
          </w:rPr>
          <m:t>pH</m:t>
        </m:r>
      </m:oMath>
      <w:r w:rsidR="00E52D02">
        <w:rPr>
          <w:szCs w:val="24"/>
        </w:rPr>
        <w:t xml:space="preserve"> ligger i området mellem</w:t>
      </w:r>
      <w:r w:rsidR="005A3264" w:rsidRPr="005A3264">
        <w:rPr>
          <w:rFonts w:ascii="Cambria Math" w:hAnsi="Cambria Math"/>
          <w:iCs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p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s</m:t>
            </m:r>
          </m:sub>
        </m:sSub>
        <m:r>
          <w:rPr>
            <w:rFonts w:ascii="Cambria Math" w:hAnsi="Cambria Math"/>
            <w:szCs w:val="24"/>
          </w:rPr>
          <m:t>-1</m:t>
        </m:r>
      </m:oMath>
      <w:r w:rsidR="00E52D02">
        <w:rPr>
          <w:szCs w:val="24"/>
        </w:rPr>
        <w:t xml:space="preserve"> og </w:t>
      </w:r>
      <m:oMath>
        <m:r>
          <m:rPr>
            <m:sty m:val="p"/>
          </m:rPr>
          <w:rPr>
            <w:rFonts w:ascii="Cambria Math" w:hAnsi="Cambria Math"/>
            <w:szCs w:val="24"/>
          </w:rPr>
          <m:t>p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vertAlign w:val="subscript"/>
              </w:rPr>
              <m:t>s</m:t>
            </m:r>
          </m:sub>
        </m:sSub>
        <m:r>
          <w:rPr>
            <w:rFonts w:ascii="Cambria Math" w:hAnsi="Cambria Math"/>
            <w:szCs w:val="24"/>
          </w:rPr>
          <m:t>+1</m:t>
        </m:r>
      </m:oMath>
      <w:r w:rsidR="00E52D02">
        <w:rPr>
          <w:szCs w:val="24"/>
        </w:rPr>
        <w:t>.</w:t>
      </w:r>
    </w:p>
    <w:p w14:paraId="58F3591A" w14:textId="77777777" w:rsidR="00E52D02" w:rsidRDefault="00E52D02" w:rsidP="003D6617">
      <w:pPr>
        <w:jc w:val="both"/>
        <w:rPr>
          <w:szCs w:val="24"/>
        </w:rPr>
      </w:pPr>
    </w:p>
    <w:p w14:paraId="0AAE2765" w14:textId="152F6BB0" w:rsidR="00E52D02" w:rsidRPr="00E52D02" w:rsidRDefault="00E52D02" w:rsidP="003D6617">
      <w:pPr>
        <w:jc w:val="both"/>
        <w:rPr>
          <w:szCs w:val="24"/>
        </w:rPr>
      </w:pPr>
      <w:r>
        <w:rPr>
          <w:szCs w:val="24"/>
        </w:rPr>
        <w:t xml:space="preserve">Man siger, at omslaget sker i intervallet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vertAlign w:val="subscript"/>
                  </w:rPr>
                  <m:t>s</m:t>
                </m:r>
              </m:sub>
            </m:sSub>
            <m:r>
              <w:rPr>
                <w:rFonts w:ascii="Cambria Math" w:hAnsi="Cambria Math"/>
                <w:szCs w:val="24"/>
              </w:rPr>
              <m:t xml:space="preserve">-1, 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vertAlign w:val="subscript"/>
                  </w:rPr>
                  <m:t>s</m:t>
                </m:r>
              </m:sub>
            </m:sSub>
            <m:r>
              <w:rPr>
                <w:rFonts w:ascii="Cambria Math" w:hAnsi="Cambria Math"/>
                <w:szCs w:val="24"/>
              </w:rPr>
              <m:t>+1</m:t>
            </m:r>
          </m:e>
        </m:d>
      </m:oMath>
      <w:r>
        <w:rPr>
          <w:szCs w:val="24"/>
        </w:rPr>
        <w:t>. Det er i dette interval, at der sker en ændring i opløsningens farve på grund af indikatoren.</w:t>
      </w:r>
    </w:p>
    <w:p w14:paraId="562A0536" w14:textId="77777777" w:rsidR="006613F0" w:rsidRDefault="006613F0" w:rsidP="003D6617">
      <w:pPr>
        <w:jc w:val="both"/>
        <w:rPr>
          <w:szCs w:val="24"/>
        </w:rPr>
      </w:pPr>
    </w:p>
    <w:p w14:paraId="2516D950" w14:textId="4BA691CC" w:rsidR="006613F0" w:rsidRDefault="006613F0" w:rsidP="003D6617">
      <w:pPr>
        <w:jc w:val="both"/>
        <w:rPr>
          <w:szCs w:val="24"/>
        </w:rPr>
      </w:pPr>
      <w:r>
        <w:rPr>
          <w:szCs w:val="24"/>
        </w:rPr>
        <w:t>Ved en kolorimetrisk syre-basetitrering er det vigtigt, at syre-baseindikatoren vælges fornuftigt. Ellers vil man få en forkert bestemmelse af koncentrationen</w:t>
      </w:r>
      <w:r w:rsidR="008E7A2E">
        <w:rPr>
          <w:szCs w:val="24"/>
        </w:rPr>
        <w:t xml:space="preserve"> af fx syren</w:t>
      </w:r>
      <w:r>
        <w:rPr>
          <w:szCs w:val="24"/>
        </w:rPr>
        <w:t xml:space="preserve">, som </w:t>
      </w:r>
      <w:r w:rsidR="008E7A2E">
        <w:rPr>
          <w:szCs w:val="24"/>
        </w:rPr>
        <w:t>undersøges</w:t>
      </w:r>
      <w:r>
        <w:rPr>
          <w:szCs w:val="24"/>
        </w:rPr>
        <w:t xml:space="preserve">. Generelt kan man sige, at hvis en opløsning af en stærk syre eller en stærk base titreres, så vil man som regel kunne benytte syre-baseindikatorer, som slår </w:t>
      </w:r>
      <w:r w:rsidR="00D44BBC">
        <w:rPr>
          <w:szCs w:val="24"/>
        </w:rPr>
        <w:t xml:space="preserve">om i </w:t>
      </w:r>
      <m:oMath>
        <m:r>
          <m:rPr>
            <m:sty m:val="p"/>
          </m:rPr>
          <w:rPr>
            <w:rFonts w:ascii="Cambria Math" w:hAnsi="Cambria Math"/>
            <w:szCs w:val="24"/>
          </w:rPr>
          <m:t>pH</m:t>
        </m:r>
      </m:oMath>
      <w:r w:rsidR="00D44BBC">
        <w:rPr>
          <w:szCs w:val="24"/>
        </w:rPr>
        <w:t xml:space="preserve"> intervallet </w:t>
      </w:r>
      <w:r>
        <w:rPr>
          <w:szCs w:val="24"/>
        </w:rPr>
        <w:t xml:space="preserve">mellem ca. 4 og ca. 10. </w:t>
      </w:r>
      <w:r w:rsidR="001750AF">
        <w:rPr>
          <w:szCs w:val="24"/>
        </w:rPr>
        <w:t>Hvis det er en opløsning af en svag syre, vil man normalt benytte en syre-baseindikator, som har et farve</w:t>
      </w:r>
      <w:r w:rsidR="00D44BBC">
        <w:rPr>
          <w:szCs w:val="24"/>
        </w:rPr>
        <w:t xml:space="preserve">omslag ved </w:t>
      </w:r>
      <m:oMath>
        <m:r>
          <m:rPr>
            <m:sty m:val="p"/>
          </m:rPr>
          <w:rPr>
            <w:rFonts w:ascii="Cambria Math" w:hAnsi="Cambria Math"/>
            <w:szCs w:val="24"/>
          </w:rPr>
          <m:t>pH</m:t>
        </m:r>
      </m:oMath>
      <w:r w:rsidR="001750AF">
        <w:rPr>
          <w:szCs w:val="24"/>
        </w:rPr>
        <w:t xml:space="preserve"> over 7 (typisk 8-10). Hvis det er en opløsning af en svag base, vil man normalt benytte en syre-baseindikator, som har et farve</w:t>
      </w:r>
      <w:r w:rsidR="0028224F">
        <w:rPr>
          <w:szCs w:val="24"/>
        </w:rPr>
        <w:t xml:space="preserve">omslag ved </w:t>
      </w:r>
      <m:oMath>
        <m:r>
          <m:rPr>
            <m:sty m:val="p"/>
          </m:rPr>
          <w:rPr>
            <w:rFonts w:ascii="Cambria Math" w:hAnsi="Cambria Math"/>
            <w:szCs w:val="24"/>
          </w:rPr>
          <m:t>pH</m:t>
        </m:r>
      </m:oMath>
      <w:r w:rsidR="001750AF">
        <w:rPr>
          <w:szCs w:val="24"/>
        </w:rPr>
        <w:t xml:space="preserve"> under 7 (typisk 4-6).</w:t>
      </w:r>
    </w:p>
    <w:p w14:paraId="789B8CBA" w14:textId="77777777" w:rsidR="008A642C" w:rsidRDefault="008A642C" w:rsidP="003D6617">
      <w:pPr>
        <w:jc w:val="both"/>
        <w:rPr>
          <w:szCs w:val="24"/>
        </w:rPr>
      </w:pPr>
    </w:p>
    <w:p w14:paraId="0272C465" w14:textId="1638489A" w:rsidR="00E42B82" w:rsidRDefault="00AD7A41" w:rsidP="003D6617">
      <w:pPr>
        <w:jc w:val="both"/>
        <w:rPr>
          <w:szCs w:val="24"/>
        </w:rPr>
      </w:pPr>
      <w:r>
        <w:rPr>
          <w:szCs w:val="24"/>
        </w:rPr>
        <w:t xml:space="preserve">Ved titrering skelnes mellem titrator og titrand. Titrator er den opløsning, </w:t>
      </w:r>
      <w:r w:rsidR="008E7A2E">
        <w:rPr>
          <w:szCs w:val="24"/>
        </w:rPr>
        <w:t>der</w:t>
      </w:r>
      <w:r>
        <w:rPr>
          <w:szCs w:val="24"/>
        </w:rPr>
        <w:t xml:space="preserve"> titreres med. Det vil sige i dette forsøg natrium</w:t>
      </w:r>
      <w:r w:rsidR="00FB2209">
        <w:rPr>
          <w:szCs w:val="24"/>
        </w:rPr>
        <w:t>(1+)</w:t>
      </w:r>
      <w:r>
        <w:rPr>
          <w:szCs w:val="24"/>
        </w:rPr>
        <w:t>hydroxid. Titranden er den er opløsning, hvis koncentration af et bestemt stof</w:t>
      </w:r>
      <w:r w:rsidR="008E7A2E">
        <w:rPr>
          <w:szCs w:val="24"/>
        </w:rPr>
        <w:t>, som</w:t>
      </w:r>
      <w:r>
        <w:rPr>
          <w:szCs w:val="24"/>
        </w:rPr>
        <w:t xml:space="preserve"> skal bestemmes. Det vil sige i dette forsøg en af syrerne saltsyre og ethansyre. </w:t>
      </w:r>
      <w:r w:rsidR="00CB379D">
        <w:rPr>
          <w:szCs w:val="24"/>
        </w:rPr>
        <w:t xml:space="preserve">I ækvivalenspunktet er der tilsat lige så stor en stofmængde af </w:t>
      </w:r>
      <w:r>
        <w:rPr>
          <w:szCs w:val="24"/>
        </w:rPr>
        <w:t>titrator, som der oprindeligt var af titrand. Det vil sige i dette forsøg er der i ækvivalenspunktet tilsat lige så stor en stofmængde natrium</w:t>
      </w:r>
      <w:r w:rsidR="00FB2209">
        <w:rPr>
          <w:szCs w:val="24"/>
        </w:rPr>
        <w:t>(1+)</w:t>
      </w:r>
      <w:r>
        <w:rPr>
          <w:szCs w:val="24"/>
        </w:rPr>
        <w:t>hydroxid, som der oprindeligt var af saltsyre henholdsvis ethansyre. I praksis afl</w:t>
      </w:r>
      <w:r w:rsidR="008E7A2E">
        <w:rPr>
          <w:szCs w:val="24"/>
        </w:rPr>
        <w:t>æ</w:t>
      </w:r>
      <w:r>
        <w:rPr>
          <w:szCs w:val="24"/>
        </w:rPr>
        <w:t>ses volumen af tilsat natrium</w:t>
      </w:r>
      <w:r w:rsidR="00FB2209">
        <w:rPr>
          <w:szCs w:val="24"/>
        </w:rPr>
        <w:t>(1+)</w:t>
      </w:r>
      <w:r>
        <w:rPr>
          <w:szCs w:val="24"/>
        </w:rPr>
        <w:t>hydroxid på buretten.</w:t>
      </w:r>
      <w:r w:rsidR="00E42B82">
        <w:rPr>
          <w:szCs w:val="24"/>
        </w:rPr>
        <w:t xml:space="preserve"> </w:t>
      </w:r>
    </w:p>
    <w:p w14:paraId="07E4FDE2" w14:textId="77777777" w:rsidR="00E42B82" w:rsidRDefault="00E42B82" w:rsidP="003D6617">
      <w:pPr>
        <w:jc w:val="both"/>
        <w:rPr>
          <w:szCs w:val="24"/>
        </w:rPr>
      </w:pPr>
    </w:p>
    <w:p w14:paraId="76EC7A80" w14:textId="2307E2DD" w:rsidR="00CB379D" w:rsidRPr="00810396" w:rsidRDefault="00E42B82" w:rsidP="003D6617">
      <w:pPr>
        <w:jc w:val="both"/>
        <w:rPr>
          <w:szCs w:val="24"/>
        </w:rPr>
      </w:pPr>
      <w:r>
        <w:rPr>
          <w:szCs w:val="24"/>
        </w:rPr>
        <w:t xml:space="preserve">Til sidst beregnes af koncentrationen af syre ud fra titreringen. Til dette benyttes formlen: </w:t>
      </w:r>
      <w:r w:rsidR="0004415D">
        <w:rPr>
          <w:szCs w:val="24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syre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NaOH</m:t>
              </m:r>
            </m:sub>
          </m:sSub>
        </m:oMath>
      </m:oMathPara>
    </w:p>
    <w:p w14:paraId="00970EAF" w14:textId="3E10F94B" w:rsidR="00810396" w:rsidRPr="00810396" w:rsidRDefault="00000000" w:rsidP="003D6617">
      <w:pPr>
        <w:jc w:val="both"/>
        <w:rPr>
          <w:iCs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syre</m:t>
              </m:r>
            </m:sub>
          </m:sSub>
          <m:r>
            <w:rPr>
              <w:rFonts w:ascii="Cambria Math" w:hAnsi="Cambria Math"/>
              <w:szCs w:val="24"/>
            </w:rPr>
            <m:t>·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syre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NaOH</m:t>
              </m:r>
            </m:sub>
          </m:sSub>
          <m:r>
            <w:rPr>
              <w:rFonts w:ascii="Cambria Math" w:hAnsi="Cambria Math"/>
              <w:szCs w:val="24"/>
            </w:rPr>
            <m:t>·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NaOH</m:t>
              </m:r>
            </m:sub>
          </m:sSub>
        </m:oMath>
      </m:oMathPara>
    </w:p>
    <w:p w14:paraId="539FB8C2" w14:textId="2B13513E" w:rsidR="00472E44" w:rsidRPr="00682F6C" w:rsidRDefault="00682F6C" w:rsidP="003D6617">
      <w:pPr>
        <w:jc w:val="both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⇕</m:t>
          </m:r>
        </m:oMath>
      </m:oMathPara>
    </w:p>
    <w:p w14:paraId="1F207C63" w14:textId="39455025" w:rsidR="00682F6C" w:rsidRDefault="00000000" w:rsidP="003D6617">
      <w:pPr>
        <w:jc w:val="both"/>
        <w:rPr>
          <w:szCs w:val="24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szCs w:val="24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syre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NaOH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NaOH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syre</m:t>
                      </m:r>
                    </m:sub>
                  </m:sSub>
                </m:den>
              </m:f>
            </m:e>
          </m:borderBox>
        </m:oMath>
      </m:oMathPara>
    </w:p>
    <w:p w14:paraId="3997C19F" w14:textId="77777777" w:rsidR="00E42B82" w:rsidRDefault="00E42B82" w:rsidP="003D6617">
      <w:pPr>
        <w:jc w:val="both"/>
        <w:rPr>
          <w:szCs w:val="24"/>
        </w:rPr>
      </w:pPr>
    </w:p>
    <w:p w14:paraId="0DEBCB47" w14:textId="0823546A" w:rsidR="00E42B82" w:rsidRDefault="008E7A2E" w:rsidP="003D6617">
      <w:pPr>
        <w:jc w:val="both"/>
        <w:rPr>
          <w:szCs w:val="24"/>
        </w:rPr>
      </w:pPr>
      <w:r>
        <w:rPr>
          <w:szCs w:val="24"/>
        </w:rPr>
        <w:t>h</w:t>
      </w:r>
      <w:r w:rsidR="00E42B82">
        <w:rPr>
          <w:szCs w:val="24"/>
        </w:rPr>
        <w:t>vor</w:t>
      </w:r>
      <w:r w:rsidR="00CE764F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NaOH</m:t>
            </m:r>
          </m:sub>
        </m:sSub>
      </m:oMath>
      <w:r w:rsidR="00E42B82">
        <w:rPr>
          <w:szCs w:val="24"/>
        </w:rPr>
        <w:t xml:space="preserve"> er koncentrationen af natrium</w:t>
      </w:r>
      <w:r w:rsidR="00CE764F">
        <w:rPr>
          <w:szCs w:val="24"/>
        </w:rPr>
        <w:t>(1+)</w:t>
      </w:r>
      <w:r w:rsidR="00E42B82">
        <w:rPr>
          <w:szCs w:val="24"/>
        </w:rPr>
        <w:t xml:space="preserve">hydroxid (her 0,100 </w:t>
      </w:r>
      <w:r w:rsidR="0004415D">
        <w:rPr>
          <w:smallCaps/>
          <w:szCs w:val="24"/>
        </w:rPr>
        <w:t>m</w:t>
      </w:r>
      <w:r w:rsidR="00E42B82">
        <w:rPr>
          <w:szCs w:val="24"/>
        </w:rPr>
        <w:t>),</w:t>
      </w:r>
      <w:r w:rsidR="00CE764F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NaOH</m:t>
            </m:r>
          </m:sub>
        </m:sSub>
      </m:oMath>
      <w:r w:rsidR="00CE764F">
        <w:rPr>
          <w:szCs w:val="24"/>
        </w:rPr>
        <w:t xml:space="preserve"> </w:t>
      </w:r>
      <w:r w:rsidR="00E42B82">
        <w:rPr>
          <w:szCs w:val="24"/>
        </w:rPr>
        <w:t>er det tilsatte volumen af natrium</w:t>
      </w:r>
      <w:r w:rsidR="00CE764F">
        <w:rPr>
          <w:szCs w:val="24"/>
        </w:rPr>
        <w:t>(1+)</w:t>
      </w:r>
      <w:r w:rsidR="00E42B82">
        <w:rPr>
          <w:szCs w:val="24"/>
        </w:rPr>
        <w:t>hydroxid (aflæses på buretten) og</w:t>
      </w:r>
      <w:r w:rsidR="00CE764F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syre</m:t>
            </m:r>
          </m:sub>
        </m:sSub>
      </m:oMath>
      <w:r w:rsidR="00CE764F">
        <w:rPr>
          <w:szCs w:val="24"/>
        </w:rPr>
        <w:t xml:space="preserve"> </w:t>
      </w:r>
      <w:r w:rsidR="00E42B82">
        <w:rPr>
          <w:szCs w:val="24"/>
        </w:rPr>
        <w:t>er det tilsatte volumen af syren (her 10,0 mL).</w:t>
      </w:r>
    </w:p>
    <w:p w14:paraId="29E22674" w14:textId="77777777" w:rsidR="00CB379D" w:rsidRDefault="00CB379D" w:rsidP="008F76F9">
      <w:pPr>
        <w:rPr>
          <w:szCs w:val="24"/>
        </w:rPr>
      </w:pPr>
    </w:p>
    <w:p w14:paraId="63EA0ACD" w14:textId="77777777" w:rsidR="0001750A" w:rsidRDefault="008B513D" w:rsidP="0001750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Apparatur</w:t>
      </w:r>
      <w:r w:rsidR="0001750A">
        <w:rPr>
          <w:rFonts w:ascii="Arial" w:hAnsi="Arial" w:cs="Arial"/>
          <w:b/>
          <w:bCs/>
        </w:rPr>
        <w:t xml:space="preserve"> og Kemikalier</w:t>
      </w:r>
    </w:p>
    <w:p w14:paraId="24AD526F" w14:textId="77777777" w:rsidR="008B513D" w:rsidRDefault="00F212C9" w:rsidP="00CE764F">
      <w:pPr>
        <w:jc w:val="both"/>
      </w:pPr>
      <w:r>
        <w:t>Reagens</w:t>
      </w:r>
      <w:r w:rsidR="008B513D">
        <w:t xml:space="preserve">glas, </w:t>
      </w:r>
      <w:r w:rsidR="008A642C">
        <w:t xml:space="preserve">burette, konisk kolbe (fx 100 mL), </w:t>
      </w:r>
      <w:r w:rsidR="008B513D">
        <w:t xml:space="preserve">magnetomrører, magnet, </w:t>
      </w:r>
      <w:r w:rsidR="008A642C">
        <w:t>fuldpipette (fx 20,0 mL)</w:t>
      </w:r>
      <w:r w:rsidR="0001750A">
        <w:t>.</w:t>
      </w:r>
    </w:p>
    <w:p w14:paraId="28403EBF" w14:textId="31811526" w:rsidR="008B513D" w:rsidRDefault="008A642C" w:rsidP="00CE764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</w:rPr>
      </w:pPr>
      <w:r>
        <w:t>Syre-baseindikatorer (</w:t>
      </w:r>
      <w:proofErr w:type="spellStart"/>
      <w:r>
        <w:t>methylrødt</w:t>
      </w:r>
      <w:proofErr w:type="spellEnd"/>
      <w:r>
        <w:t xml:space="preserve">, </w:t>
      </w:r>
      <w:proofErr w:type="spellStart"/>
      <w:r>
        <w:t>phenolphthalein</w:t>
      </w:r>
      <w:proofErr w:type="spellEnd"/>
      <w:r>
        <w:t xml:space="preserve"> og </w:t>
      </w:r>
      <w:proofErr w:type="spellStart"/>
      <w:r>
        <w:t>bromthymolblåt</w:t>
      </w:r>
      <w:proofErr w:type="spellEnd"/>
      <w:r>
        <w:t xml:space="preserve">), opløsninger med forskellige surhedsgrader, saltsyre (fx 0,100 </w:t>
      </w:r>
      <w:r w:rsidR="0004415D">
        <w:rPr>
          <w:smallCaps/>
          <w:szCs w:val="24"/>
        </w:rPr>
        <w:t>m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>
        <w:t xml:space="preserve">), ethansyre (eddikesyre) (fx </w:t>
      </w:r>
      <w:r w:rsidR="008B513D">
        <w:t xml:space="preserve">0,100 </w:t>
      </w:r>
      <w:r w:rsidR="0004415D">
        <w:rPr>
          <w:smallCaps/>
          <w:szCs w:val="24"/>
        </w:rPr>
        <w:t>m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COOH</m:t>
        </m:r>
      </m:oMath>
      <w:r>
        <w:t>), natrium</w:t>
      </w:r>
      <w:r w:rsidR="00CE764F">
        <w:t>(1+)</w:t>
      </w:r>
      <w:r>
        <w:t>hydroxid</w:t>
      </w:r>
      <w:r w:rsidR="008B513D">
        <w:t xml:space="preserve"> </w:t>
      </w:r>
      <w:r>
        <w:t>(fx</w:t>
      </w:r>
      <w:r w:rsidR="0004415D">
        <w:t xml:space="preserve"> 0,100</w:t>
      </w:r>
      <w:r>
        <w:t xml:space="preserve"> </w:t>
      </w:r>
      <w:r w:rsidR="0004415D">
        <w:rPr>
          <w:smallCaps/>
          <w:szCs w:val="24"/>
        </w:rPr>
        <w:t>m</w:t>
      </w:r>
      <w:r w:rsidR="0004415D">
        <w:t xml:space="preserve"> </w:t>
      </w:r>
      <m:oMath>
        <m:r>
          <m:rPr>
            <m:sty m:val="p"/>
          </m:rPr>
          <w:rPr>
            <w:rFonts w:ascii="Cambria Math" w:hAnsi="Cambria Math"/>
          </w:rPr>
          <m:t>NaOH</m:t>
        </m:r>
      </m:oMath>
      <w:r>
        <w:t>)</w:t>
      </w:r>
    </w:p>
    <w:p w14:paraId="43B3F7BC" w14:textId="77777777" w:rsidR="008B513D" w:rsidRDefault="008B513D" w:rsidP="008B513D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</w:rPr>
      </w:pPr>
    </w:p>
    <w:p w14:paraId="6A33B2AC" w14:textId="77777777" w:rsidR="008B513D" w:rsidRDefault="008B513D" w:rsidP="006433E2">
      <w:pPr>
        <w:tabs>
          <w:tab w:val="center" w:pos="3855"/>
          <w:tab w:val="left" w:pos="7257"/>
        </w:tabs>
        <w:ind w:right="148"/>
      </w:pPr>
      <w:r>
        <w:rPr>
          <w:rFonts w:ascii="Arial" w:hAnsi="Arial" w:cs="Arial"/>
          <w:b/>
          <w:bCs/>
        </w:rPr>
        <w:t>Affald</w:t>
      </w:r>
      <w:r w:rsidR="006433E2">
        <w:rPr>
          <w:rFonts w:ascii="Arial" w:hAnsi="Arial" w:cs="Arial"/>
          <w:b/>
          <w:bCs/>
        </w:rPr>
        <w:t xml:space="preserve">: </w:t>
      </w:r>
      <w:r>
        <w:t>Alt affald må hældes i vasken.</w:t>
      </w:r>
    </w:p>
    <w:p w14:paraId="5C5A6658" w14:textId="77777777" w:rsidR="00575D4D" w:rsidRDefault="00575D4D" w:rsidP="008F76F9">
      <w:pPr>
        <w:rPr>
          <w:szCs w:val="24"/>
        </w:rPr>
      </w:pPr>
    </w:p>
    <w:p w14:paraId="13153376" w14:textId="77777777" w:rsidR="00076B9D" w:rsidRDefault="00076B9D" w:rsidP="00076B9D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Eksperimentelt</w:t>
      </w:r>
    </w:p>
    <w:p w14:paraId="2F63E227" w14:textId="77777777" w:rsidR="00076B9D" w:rsidRDefault="00076B9D" w:rsidP="00CE764F">
      <w:pPr>
        <w:jc w:val="both"/>
      </w:pPr>
      <w:r>
        <w:t>Først skal tre syre-baseindikatorers farver i tre opløsninger bestemmes. Dernæst gennemføres kolorimetriske titreringer med forskellige syre-baseindikatorer og syrer.</w:t>
      </w:r>
    </w:p>
    <w:p w14:paraId="25E7B30F" w14:textId="77777777" w:rsidR="0004415D" w:rsidRDefault="0004415D" w:rsidP="00076B9D"/>
    <w:p w14:paraId="44CD0577" w14:textId="77777777" w:rsidR="00076B9D" w:rsidRPr="00076B9D" w:rsidRDefault="00076B9D" w:rsidP="00076B9D">
      <w:pPr>
        <w:rPr>
          <w:b/>
        </w:rPr>
      </w:pPr>
      <w:r w:rsidRPr="00076B9D">
        <w:rPr>
          <w:b/>
        </w:rPr>
        <w:t>1. Syre-baseindikatorers farver</w:t>
      </w:r>
    </w:p>
    <w:p w14:paraId="085776DB" w14:textId="325C0CE7" w:rsidR="000F70AA" w:rsidRDefault="00F212C9" w:rsidP="00EC342C">
      <w:pPr>
        <w:jc w:val="both"/>
      </w:pPr>
      <w:r>
        <w:t>Benyt 3 reagensglas. Hvert glas fyldes med ca</w:t>
      </w:r>
      <w:r w:rsidR="00EC342C">
        <w:t>.</w:t>
      </w:r>
      <w:r>
        <w:t xml:space="preserve"> 3 mL </w:t>
      </w:r>
      <w:r w:rsidR="000F70AA">
        <w:t xml:space="preserve">af en opløsning med en bestemt pH værdi. Der tilsættes nogle dråber syre-baseindikator, og opløsningens farve iagttages. </w:t>
      </w:r>
      <w:r>
        <w:t>Vask reagensglassene af og gennemfør med næste syre-baseindikator</w:t>
      </w:r>
      <w:r w:rsidR="000F70AA">
        <w:t>: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417"/>
        <w:gridCol w:w="2403"/>
        <w:gridCol w:w="2404"/>
        <w:gridCol w:w="2404"/>
      </w:tblGrid>
      <w:tr w:rsidR="000F70AA" w14:paraId="52CED701" w14:textId="77777777" w:rsidTr="00EC342C">
        <w:tc>
          <w:tcPr>
            <w:tcW w:w="2444" w:type="dxa"/>
            <w:tcBorders>
              <w:tl2br w:val="single" w:sz="4" w:space="0" w:color="auto"/>
            </w:tcBorders>
          </w:tcPr>
          <w:p w14:paraId="1E77741F" w14:textId="77777777" w:rsidR="000F70AA" w:rsidRPr="000F70AA" w:rsidRDefault="000F70AA" w:rsidP="000F70AA">
            <w:pPr>
              <w:jc w:val="right"/>
              <w:rPr>
                <w:b/>
              </w:rPr>
            </w:pPr>
            <w:r w:rsidRPr="000F70AA">
              <w:rPr>
                <w:b/>
              </w:rPr>
              <w:t>pH værdi</w:t>
            </w:r>
          </w:p>
          <w:p w14:paraId="67AE8474" w14:textId="77777777" w:rsidR="000F70AA" w:rsidRPr="000F70AA" w:rsidRDefault="000F70AA" w:rsidP="00076B9D">
            <w:pPr>
              <w:rPr>
                <w:b/>
              </w:rPr>
            </w:pPr>
            <w:r w:rsidRPr="000F70AA">
              <w:rPr>
                <w:b/>
              </w:rPr>
              <w:t>Indikator</w:t>
            </w:r>
          </w:p>
        </w:tc>
        <w:tc>
          <w:tcPr>
            <w:tcW w:w="2444" w:type="dxa"/>
            <w:vAlign w:val="bottom"/>
          </w:tcPr>
          <w:p w14:paraId="2D1C4303" w14:textId="77777777" w:rsidR="000F70AA" w:rsidRPr="000F70AA" w:rsidRDefault="000F70AA" w:rsidP="00EC342C">
            <w:pPr>
              <w:jc w:val="center"/>
              <w:rPr>
                <w:b/>
              </w:rPr>
            </w:pPr>
            <w:r w:rsidRPr="000F70AA">
              <w:rPr>
                <w:b/>
              </w:rPr>
              <w:t>Ca. 2</w:t>
            </w:r>
          </w:p>
        </w:tc>
        <w:tc>
          <w:tcPr>
            <w:tcW w:w="2445" w:type="dxa"/>
            <w:vAlign w:val="bottom"/>
          </w:tcPr>
          <w:p w14:paraId="3043A102" w14:textId="77777777" w:rsidR="000F70AA" w:rsidRPr="000F70AA" w:rsidRDefault="000F70AA" w:rsidP="00EC342C">
            <w:pPr>
              <w:jc w:val="center"/>
              <w:rPr>
                <w:b/>
              </w:rPr>
            </w:pPr>
            <w:r w:rsidRPr="000F70AA">
              <w:rPr>
                <w:b/>
              </w:rPr>
              <w:t>Ca. 7</w:t>
            </w:r>
          </w:p>
        </w:tc>
        <w:tc>
          <w:tcPr>
            <w:tcW w:w="2445" w:type="dxa"/>
            <w:vAlign w:val="bottom"/>
          </w:tcPr>
          <w:p w14:paraId="2D84982E" w14:textId="77777777" w:rsidR="000F70AA" w:rsidRPr="000F70AA" w:rsidRDefault="000F70AA" w:rsidP="00EC342C">
            <w:pPr>
              <w:jc w:val="center"/>
              <w:rPr>
                <w:b/>
              </w:rPr>
            </w:pPr>
            <w:r w:rsidRPr="000F70AA">
              <w:rPr>
                <w:b/>
              </w:rPr>
              <w:t>Ca. 11</w:t>
            </w:r>
          </w:p>
        </w:tc>
      </w:tr>
      <w:tr w:rsidR="000F70AA" w14:paraId="7635E72C" w14:textId="77777777" w:rsidTr="004C5476">
        <w:tc>
          <w:tcPr>
            <w:tcW w:w="2444" w:type="dxa"/>
          </w:tcPr>
          <w:p w14:paraId="00C1169E" w14:textId="42F8A6C3" w:rsidR="006433E2" w:rsidRPr="000F70AA" w:rsidRDefault="000F70AA" w:rsidP="00EC342C">
            <w:pPr>
              <w:rPr>
                <w:b/>
              </w:rPr>
            </w:pPr>
            <w:proofErr w:type="spellStart"/>
            <w:r w:rsidRPr="000F70AA">
              <w:rPr>
                <w:b/>
              </w:rPr>
              <w:t>Methylrødt</w:t>
            </w:r>
            <w:proofErr w:type="spellEnd"/>
          </w:p>
        </w:tc>
        <w:tc>
          <w:tcPr>
            <w:tcW w:w="2444" w:type="dxa"/>
          </w:tcPr>
          <w:p w14:paraId="0A8D4EFE" w14:textId="77777777" w:rsidR="000F70AA" w:rsidRDefault="000F70AA" w:rsidP="00076B9D"/>
        </w:tc>
        <w:tc>
          <w:tcPr>
            <w:tcW w:w="2445" w:type="dxa"/>
          </w:tcPr>
          <w:p w14:paraId="6A1C2476" w14:textId="77777777" w:rsidR="000F70AA" w:rsidRDefault="000F70AA" w:rsidP="00076B9D"/>
        </w:tc>
        <w:tc>
          <w:tcPr>
            <w:tcW w:w="2445" w:type="dxa"/>
          </w:tcPr>
          <w:p w14:paraId="54AFC56E" w14:textId="77777777" w:rsidR="000F70AA" w:rsidRDefault="000F70AA" w:rsidP="00076B9D"/>
        </w:tc>
      </w:tr>
      <w:tr w:rsidR="000F70AA" w14:paraId="3526BA68" w14:textId="77777777" w:rsidTr="004C5476">
        <w:tc>
          <w:tcPr>
            <w:tcW w:w="2444" w:type="dxa"/>
          </w:tcPr>
          <w:p w14:paraId="4CDF2E5C" w14:textId="48E447A1" w:rsidR="000F70AA" w:rsidRPr="000F70AA" w:rsidRDefault="000F70AA" w:rsidP="00EC342C">
            <w:pPr>
              <w:rPr>
                <w:b/>
              </w:rPr>
            </w:pPr>
            <w:proofErr w:type="spellStart"/>
            <w:r w:rsidRPr="000F70AA">
              <w:rPr>
                <w:b/>
              </w:rPr>
              <w:t>Bromthymolblåt</w:t>
            </w:r>
            <w:proofErr w:type="spellEnd"/>
          </w:p>
        </w:tc>
        <w:tc>
          <w:tcPr>
            <w:tcW w:w="2444" w:type="dxa"/>
          </w:tcPr>
          <w:p w14:paraId="2902567E" w14:textId="77777777" w:rsidR="000F70AA" w:rsidRDefault="000F70AA" w:rsidP="00076B9D"/>
        </w:tc>
        <w:tc>
          <w:tcPr>
            <w:tcW w:w="2445" w:type="dxa"/>
          </w:tcPr>
          <w:p w14:paraId="59BCD5CC" w14:textId="77777777" w:rsidR="000F70AA" w:rsidRDefault="000F70AA" w:rsidP="00076B9D"/>
        </w:tc>
        <w:tc>
          <w:tcPr>
            <w:tcW w:w="2445" w:type="dxa"/>
          </w:tcPr>
          <w:p w14:paraId="3C62CB86" w14:textId="77777777" w:rsidR="000F70AA" w:rsidRDefault="000F70AA" w:rsidP="00076B9D"/>
        </w:tc>
      </w:tr>
      <w:tr w:rsidR="000F70AA" w14:paraId="1DA024F4" w14:textId="77777777" w:rsidTr="004C5476">
        <w:tc>
          <w:tcPr>
            <w:tcW w:w="2444" w:type="dxa"/>
          </w:tcPr>
          <w:p w14:paraId="45D8207E" w14:textId="789CCC71" w:rsidR="000F70AA" w:rsidRPr="000F70AA" w:rsidRDefault="000F70AA" w:rsidP="000F70AA">
            <w:pPr>
              <w:rPr>
                <w:b/>
              </w:rPr>
            </w:pPr>
            <w:proofErr w:type="spellStart"/>
            <w:r w:rsidRPr="000F70AA">
              <w:rPr>
                <w:b/>
              </w:rPr>
              <w:t>Phenolphthalein</w:t>
            </w:r>
            <w:proofErr w:type="spellEnd"/>
          </w:p>
        </w:tc>
        <w:tc>
          <w:tcPr>
            <w:tcW w:w="2444" w:type="dxa"/>
          </w:tcPr>
          <w:p w14:paraId="0F636A14" w14:textId="77777777" w:rsidR="000F70AA" w:rsidRDefault="000F70AA" w:rsidP="00076B9D"/>
        </w:tc>
        <w:tc>
          <w:tcPr>
            <w:tcW w:w="2445" w:type="dxa"/>
          </w:tcPr>
          <w:p w14:paraId="73E92EBF" w14:textId="77777777" w:rsidR="000F70AA" w:rsidRDefault="000F70AA" w:rsidP="00076B9D"/>
        </w:tc>
        <w:tc>
          <w:tcPr>
            <w:tcW w:w="2445" w:type="dxa"/>
          </w:tcPr>
          <w:p w14:paraId="53B3390A" w14:textId="77777777" w:rsidR="000F70AA" w:rsidRDefault="000F70AA" w:rsidP="00076B9D"/>
        </w:tc>
      </w:tr>
    </w:tbl>
    <w:p w14:paraId="23B662D5" w14:textId="77777777" w:rsidR="00076B9D" w:rsidRDefault="000F70AA" w:rsidP="00076B9D">
      <w:r>
        <w:lastRenderedPageBreak/>
        <w:t xml:space="preserve"> </w:t>
      </w:r>
    </w:p>
    <w:p w14:paraId="26FA5614" w14:textId="77777777" w:rsidR="00715245" w:rsidRDefault="00715245" w:rsidP="00076B9D">
      <w:pPr>
        <w:rPr>
          <w:b/>
        </w:rPr>
      </w:pPr>
    </w:p>
    <w:p w14:paraId="6CC508CA" w14:textId="77777777" w:rsidR="00F212C9" w:rsidRDefault="00F212C9" w:rsidP="00076B9D">
      <w:pPr>
        <w:rPr>
          <w:b/>
        </w:rPr>
      </w:pPr>
    </w:p>
    <w:p w14:paraId="5DEF312E" w14:textId="77777777" w:rsidR="00076B9D" w:rsidRDefault="0071430E" w:rsidP="00076B9D">
      <w:pPr>
        <w:rPr>
          <w:b/>
        </w:rPr>
      </w:pPr>
      <w:r>
        <w:rPr>
          <w:b/>
        </w:rPr>
        <w:t xml:space="preserve">2. </w:t>
      </w:r>
      <w:r w:rsidR="00076B9D" w:rsidRPr="00AE0B95">
        <w:rPr>
          <w:b/>
        </w:rPr>
        <w:t>Kolorimetrisk titrering</w:t>
      </w:r>
    </w:p>
    <w:p w14:paraId="3C3E9F08" w14:textId="77777777" w:rsidR="0071430E" w:rsidRDefault="0071430E" w:rsidP="00EC342C">
      <w:pPr>
        <w:numPr>
          <w:ilvl w:val="0"/>
          <w:numId w:val="2"/>
        </w:numPr>
        <w:jc w:val="both"/>
      </w:pPr>
      <w:r>
        <w:t xml:space="preserve">Burette fyldes med 0,100 </w:t>
      </w:r>
      <w:r w:rsidR="0004415D">
        <w:rPr>
          <w:smallCaps/>
          <w:szCs w:val="24"/>
        </w:rPr>
        <w:t>m</w:t>
      </w:r>
      <w:r>
        <w:t xml:space="preserve"> NaOH.</w:t>
      </w:r>
    </w:p>
    <w:p w14:paraId="4967D045" w14:textId="77777777" w:rsidR="0071430E" w:rsidRDefault="00076B9D" w:rsidP="00EC342C">
      <w:pPr>
        <w:numPr>
          <w:ilvl w:val="0"/>
          <w:numId w:val="2"/>
        </w:numPr>
        <w:jc w:val="both"/>
      </w:pPr>
      <w:r>
        <w:t>Med f</w:t>
      </w:r>
      <w:r w:rsidR="0071430E">
        <w:t>uld</w:t>
      </w:r>
      <w:r>
        <w:t xml:space="preserve">pipette afmåles </w:t>
      </w:r>
      <w:r w:rsidR="0071430E">
        <w:t>10,0</w:t>
      </w:r>
      <w:r>
        <w:t xml:space="preserve"> mL </w:t>
      </w:r>
      <w:r w:rsidR="0071430E">
        <w:t>syre (der prøves dels med saltsyre og dels med ethansyre)</w:t>
      </w:r>
      <w:r>
        <w:t xml:space="preserve">, som overføres til en konisk kolbe. Der tilsættes ca. 20 mL demineraliseret vand og 3-4 dråber </w:t>
      </w:r>
      <w:r w:rsidR="0071430E">
        <w:t>syre-baseindikator (</w:t>
      </w:r>
      <w:r w:rsidR="0071430E" w:rsidRPr="00F212C9">
        <w:rPr>
          <w:b/>
        </w:rPr>
        <w:t xml:space="preserve">der prøves med dels </w:t>
      </w:r>
      <w:proofErr w:type="spellStart"/>
      <w:r w:rsidR="0071430E" w:rsidRPr="00F212C9">
        <w:rPr>
          <w:b/>
        </w:rPr>
        <w:t>methylrødt</w:t>
      </w:r>
      <w:proofErr w:type="spellEnd"/>
      <w:r w:rsidR="0071430E" w:rsidRPr="00F212C9">
        <w:rPr>
          <w:b/>
        </w:rPr>
        <w:t xml:space="preserve"> og </w:t>
      </w:r>
      <w:r w:rsidR="0004415D">
        <w:rPr>
          <w:b/>
        </w:rPr>
        <w:t xml:space="preserve">dels </w:t>
      </w:r>
      <w:proofErr w:type="spellStart"/>
      <w:r w:rsidRPr="00F212C9">
        <w:rPr>
          <w:b/>
        </w:rPr>
        <w:t>phenolphthalein</w:t>
      </w:r>
      <w:proofErr w:type="spellEnd"/>
      <w:r w:rsidR="0071430E">
        <w:t>)</w:t>
      </w:r>
      <w:r w:rsidR="004E4E2B">
        <w:t>.</w:t>
      </w:r>
    </w:p>
    <w:p w14:paraId="2EADC328" w14:textId="77777777" w:rsidR="00076B9D" w:rsidRDefault="0071430E" w:rsidP="00EC342C">
      <w:pPr>
        <w:numPr>
          <w:ilvl w:val="0"/>
          <w:numId w:val="2"/>
        </w:numPr>
        <w:jc w:val="both"/>
      </w:pPr>
      <w:r>
        <w:t>E</w:t>
      </w:r>
      <w:r w:rsidR="00076B9D">
        <w:t xml:space="preserve">n magnet </w:t>
      </w:r>
      <w:r>
        <w:t>placeres i den koniske kolbe</w:t>
      </w:r>
      <w:r w:rsidR="004E4E2B">
        <w:t>,</w:t>
      </w:r>
      <w:r>
        <w:t xml:space="preserve"> </w:t>
      </w:r>
      <w:r w:rsidR="00076B9D">
        <w:t>og magnetomrø</w:t>
      </w:r>
      <w:r>
        <w:t>rer startes</w:t>
      </w:r>
      <w:r w:rsidR="00076B9D">
        <w:t>.</w:t>
      </w:r>
    </w:p>
    <w:p w14:paraId="78F7595F" w14:textId="05015D09" w:rsidR="00EC342C" w:rsidRDefault="0071430E" w:rsidP="00EC342C">
      <w:pPr>
        <w:numPr>
          <w:ilvl w:val="0"/>
          <w:numId w:val="2"/>
        </w:numPr>
        <w:jc w:val="both"/>
      </w:pPr>
      <w:r>
        <w:t>Der titreres indtil et farveskift iagttages. Dvs</w:t>
      </w:r>
      <w:r w:rsidR="004C5476">
        <w:t>.</w:t>
      </w:r>
      <w:r>
        <w:t xml:space="preserve"> ækvivalenspunktet er opnået. </w:t>
      </w:r>
    </w:p>
    <w:p w14:paraId="5B249212" w14:textId="442C8A39" w:rsidR="0071430E" w:rsidRDefault="0071430E" w:rsidP="00EC342C">
      <w:pPr>
        <w:numPr>
          <w:ilvl w:val="0"/>
          <w:numId w:val="2"/>
        </w:numPr>
        <w:jc w:val="both"/>
      </w:pPr>
      <w:r>
        <w:t>Det tilsatte volumen af natriumhydroxid aflæses</w:t>
      </w:r>
      <w:r w:rsidR="004E4E2B">
        <w:t xml:space="preserve"> på buretten</w:t>
      </w:r>
      <w:r>
        <w:t>, koncentrationen af syre beregnes.</w:t>
      </w:r>
    </w:p>
    <w:p w14:paraId="2504B3C0" w14:textId="77777777" w:rsidR="00076B9D" w:rsidRDefault="0071430E" w:rsidP="00EC342C">
      <w:pPr>
        <w:numPr>
          <w:ilvl w:val="0"/>
          <w:numId w:val="2"/>
        </w:numPr>
        <w:jc w:val="both"/>
      </w:pPr>
      <w:r>
        <w:t>Forsøget gentages med en ny indikator eller ny syre.</w:t>
      </w:r>
    </w:p>
    <w:p w14:paraId="4070A637" w14:textId="77777777" w:rsidR="00076B9D" w:rsidRDefault="00076B9D" w:rsidP="00076B9D"/>
    <w:p w14:paraId="3CA5612D" w14:textId="77777777" w:rsidR="000F70AA" w:rsidRDefault="000F70AA" w:rsidP="000F70A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Behandling af resultater</w:t>
      </w:r>
      <w:r w:rsidR="0001750A">
        <w:rPr>
          <w:rFonts w:ascii="Arial" w:hAnsi="Arial" w:cs="Arial"/>
          <w:b/>
          <w:bCs/>
        </w:rPr>
        <w:t xml:space="preserve"> og diskussion</w:t>
      </w:r>
    </w:p>
    <w:p w14:paraId="2F8DC2FB" w14:textId="77777777" w:rsidR="000F70AA" w:rsidRPr="000F70AA" w:rsidRDefault="000F70AA" w:rsidP="000F70AA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</w:rPr>
      </w:pPr>
      <w:r w:rsidRPr="00076B9D">
        <w:rPr>
          <w:b/>
        </w:rPr>
        <w:t>1. Syre-baseindikatorers farver</w:t>
      </w:r>
    </w:p>
    <w:p w14:paraId="7B71935C" w14:textId="09894425" w:rsidR="00EC342C" w:rsidRDefault="0071430E" w:rsidP="000F70AA">
      <w:r>
        <w:t xml:space="preserve">I hvilket </w:t>
      </w:r>
      <m:oMath>
        <m:r>
          <m:rPr>
            <m:sty m:val="p"/>
          </m:rPr>
          <w:rPr>
            <w:rFonts w:ascii="Cambria Math" w:hAnsi="Cambria Math"/>
          </w:rPr>
          <m:t>pH</m:t>
        </m:r>
      </m:oMath>
      <w:r>
        <w:t xml:space="preserve"> område slår de tre forskellige syre-baseindikatorer om? </w:t>
      </w:r>
      <w:r w:rsidR="004E4E2B">
        <w:br/>
      </w:r>
      <w:r>
        <w:t xml:space="preserve">(sammenlign med tabellen </w:t>
      </w:r>
      <w:r w:rsidR="00F212C9">
        <w:t xml:space="preserve">i </w:t>
      </w:r>
      <w:proofErr w:type="spellStart"/>
      <w:r w:rsidR="00F212C9">
        <w:t>BasisKemi</w:t>
      </w:r>
      <w:proofErr w:type="spellEnd"/>
      <w:r w:rsidR="00F212C9">
        <w:t xml:space="preserve"> B</w:t>
      </w:r>
      <w:r w:rsidR="00F73033">
        <w:t>, side 314</w:t>
      </w:r>
      <w:r w:rsidR="00F212C9">
        <w:t xml:space="preserve"> eller Databogen</w:t>
      </w:r>
      <w:r w:rsidR="00333335">
        <w:t>, side 34</w:t>
      </w:r>
      <w:r>
        <w:t>).</w:t>
      </w:r>
    </w:p>
    <w:p w14:paraId="348EDC22" w14:textId="77777777" w:rsidR="0071430E" w:rsidRPr="000F70AA" w:rsidRDefault="0071430E" w:rsidP="0071430E">
      <w:pPr>
        <w:rPr>
          <w:b/>
        </w:rPr>
      </w:pPr>
      <w:proofErr w:type="spellStart"/>
      <w:r w:rsidRPr="000F70AA">
        <w:rPr>
          <w:b/>
        </w:rPr>
        <w:t>Methylrødt</w:t>
      </w:r>
      <w:proofErr w:type="spellEnd"/>
      <w:r>
        <w:rPr>
          <w:b/>
        </w:rPr>
        <w:t>:</w:t>
      </w:r>
    </w:p>
    <w:p w14:paraId="679FC46A" w14:textId="77777777" w:rsidR="0071430E" w:rsidRDefault="0071430E" w:rsidP="0071430E">
      <w:pPr>
        <w:rPr>
          <w:b/>
        </w:rPr>
      </w:pPr>
    </w:p>
    <w:p w14:paraId="773EFBF5" w14:textId="77777777" w:rsidR="0071430E" w:rsidRDefault="0071430E" w:rsidP="0071430E">
      <w:pPr>
        <w:rPr>
          <w:b/>
        </w:rPr>
      </w:pPr>
      <w:proofErr w:type="spellStart"/>
      <w:r w:rsidRPr="000F70AA">
        <w:rPr>
          <w:b/>
        </w:rPr>
        <w:t>Bromthymolblåt</w:t>
      </w:r>
      <w:proofErr w:type="spellEnd"/>
      <w:r>
        <w:rPr>
          <w:b/>
        </w:rPr>
        <w:t>:</w:t>
      </w:r>
    </w:p>
    <w:p w14:paraId="4654E3F5" w14:textId="77777777" w:rsidR="0071430E" w:rsidRPr="000F70AA" w:rsidRDefault="0071430E" w:rsidP="0071430E">
      <w:pPr>
        <w:rPr>
          <w:b/>
        </w:rPr>
      </w:pPr>
    </w:p>
    <w:p w14:paraId="41BA14E1" w14:textId="77777777" w:rsidR="0071430E" w:rsidRDefault="0071430E" w:rsidP="0071430E">
      <w:pPr>
        <w:rPr>
          <w:b/>
        </w:rPr>
      </w:pPr>
      <w:proofErr w:type="spellStart"/>
      <w:r w:rsidRPr="000F70AA">
        <w:rPr>
          <w:b/>
        </w:rPr>
        <w:t>Phenolphthalein</w:t>
      </w:r>
      <w:proofErr w:type="spellEnd"/>
      <w:r>
        <w:rPr>
          <w:b/>
        </w:rPr>
        <w:t>:</w:t>
      </w:r>
    </w:p>
    <w:p w14:paraId="1ABFE4A4" w14:textId="77777777" w:rsidR="0071430E" w:rsidRDefault="0071430E" w:rsidP="0071430E">
      <w:pPr>
        <w:rPr>
          <w:b/>
        </w:rPr>
      </w:pPr>
    </w:p>
    <w:p w14:paraId="49D6A61A" w14:textId="77777777" w:rsidR="00231A03" w:rsidRPr="00AE0B95" w:rsidRDefault="00231A03" w:rsidP="00231A03">
      <w:pPr>
        <w:rPr>
          <w:b/>
        </w:rPr>
      </w:pPr>
      <w:r>
        <w:rPr>
          <w:b/>
        </w:rPr>
        <w:t xml:space="preserve">2. </w:t>
      </w:r>
      <w:r w:rsidRPr="00AE0B95">
        <w:rPr>
          <w:b/>
        </w:rPr>
        <w:t>Kolorimetrisk titrering</w:t>
      </w:r>
    </w:p>
    <w:p w14:paraId="4AAF003F" w14:textId="77777777" w:rsidR="00231A03" w:rsidRPr="006433E2" w:rsidRDefault="00231A03" w:rsidP="0071430E">
      <w:pPr>
        <w:rPr>
          <w:b/>
        </w:rPr>
      </w:pPr>
      <w:r w:rsidRPr="006433E2">
        <w:rPr>
          <w:b/>
        </w:rPr>
        <w:t>Beregn koncentrationen af saltsyre ud fra de to titreringer</w:t>
      </w:r>
      <w:r w:rsidR="0001750A" w:rsidRPr="006433E2">
        <w:rPr>
          <w:b/>
        </w:rPr>
        <w:t>: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915"/>
        <w:gridCol w:w="2480"/>
        <w:gridCol w:w="5233"/>
      </w:tblGrid>
      <w:tr w:rsidR="0001750A" w14:paraId="2BE42417" w14:textId="77777777" w:rsidTr="00EC342C">
        <w:tc>
          <w:tcPr>
            <w:tcW w:w="1915" w:type="dxa"/>
          </w:tcPr>
          <w:p w14:paraId="36A951B2" w14:textId="77777777" w:rsidR="0001750A" w:rsidRPr="0001750A" w:rsidRDefault="0001750A" w:rsidP="0071430E">
            <w:pPr>
              <w:rPr>
                <w:b/>
              </w:rPr>
            </w:pPr>
            <w:r w:rsidRPr="0001750A">
              <w:rPr>
                <w:b/>
              </w:rPr>
              <w:t>Indikator</w:t>
            </w:r>
          </w:p>
        </w:tc>
        <w:tc>
          <w:tcPr>
            <w:tcW w:w="2480" w:type="dxa"/>
          </w:tcPr>
          <w:p w14:paraId="18AFE738" w14:textId="38C4E69F" w:rsidR="0001750A" w:rsidRPr="0001750A" w:rsidRDefault="00000000" w:rsidP="0001750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NaOH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mL</m:t>
                </m:r>
              </m:oMath>
            </m:oMathPara>
          </w:p>
        </w:tc>
        <w:tc>
          <w:tcPr>
            <w:tcW w:w="5233" w:type="dxa"/>
          </w:tcPr>
          <w:p w14:paraId="2F4602BF" w14:textId="07EDCE1A" w:rsidR="0001750A" w:rsidRDefault="00000000" w:rsidP="0001750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syre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mallCaps/>
                    <w:szCs w:val="24"/>
                  </w:rPr>
                  <m:t>m</m:t>
                </m:r>
              </m:oMath>
            </m:oMathPara>
          </w:p>
        </w:tc>
      </w:tr>
      <w:tr w:rsidR="0001750A" w14:paraId="157D89B6" w14:textId="77777777" w:rsidTr="004C5476">
        <w:tc>
          <w:tcPr>
            <w:tcW w:w="1915" w:type="dxa"/>
            <w:vAlign w:val="center"/>
          </w:tcPr>
          <w:p w14:paraId="503E42C6" w14:textId="5241A7CC" w:rsidR="0001750A" w:rsidRPr="0001750A" w:rsidRDefault="0001750A" w:rsidP="00EC342C">
            <w:pPr>
              <w:rPr>
                <w:b/>
              </w:rPr>
            </w:pPr>
            <w:proofErr w:type="spellStart"/>
            <w:r w:rsidRPr="0001750A">
              <w:rPr>
                <w:b/>
              </w:rPr>
              <w:t>Methylrødt</w:t>
            </w:r>
            <w:proofErr w:type="spellEnd"/>
          </w:p>
        </w:tc>
        <w:tc>
          <w:tcPr>
            <w:tcW w:w="2480" w:type="dxa"/>
            <w:vAlign w:val="center"/>
          </w:tcPr>
          <w:p w14:paraId="7F948682" w14:textId="77777777" w:rsidR="0001750A" w:rsidRDefault="0001750A" w:rsidP="00EC342C"/>
        </w:tc>
        <w:tc>
          <w:tcPr>
            <w:tcW w:w="5233" w:type="dxa"/>
            <w:vAlign w:val="center"/>
          </w:tcPr>
          <w:p w14:paraId="7FF92E98" w14:textId="77777777" w:rsidR="0001750A" w:rsidRDefault="0001750A" w:rsidP="00EC342C"/>
        </w:tc>
      </w:tr>
      <w:tr w:rsidR="0001750A" w14:paraId="15C9641C" w14:textId="77777777" w:rsidTr="004C5476">
        <w:tc>
          <w:tcPr>
            <w:tcW w:w="1915" w:type="dxa"/>
            <w:vAlign w:val="center"/>
          </w:tcPr>
          <w:p w14:paraId="46CAD9DB" w14:textId="3BCF30E0" w:rsidR="0001750A" w:rsidRPr="0001750A" w:rsidRDefault="0001750A" w:rsidP="00EC342C">
            <w:pPr>
              <w:rPr>
                <w:b/>
              </w:rPr>
            </w:pPr>
            <w:proofErr w:type="spellStart"/>
            <w:r w:rsidRPr="0001750A">
              <w:rPr>
                <w:b/>
              </w:rPr>
              <w:t>Phenolphthalein</w:t>
            </w:r>
            <w:proofErr w:type="spellEnd"/>
          </w:p>
        </w:tc>
        <w:tc>
          <w:tcPr>
            <w:tcW w:w="2480" w:type="dxa"/>
            <w:vAlign w:val="center"/>
          </w:tcPr>
          <w:p w14:paraId="6F147096" w14:textId="77777777" w:rsidR="0001750A" w:rsidRDefault="0001750A" w:rsidP="00EC342C"/>
        </w:tc>
        <w:tc>
          <w:tcPr>
            <w:tcW w:w="5233" w:type="dxa"/>
            <w:vAlign w:val="center"/>
          </w:tcPr>
          <w:p w14:paraId="7E301603" w14:textId="77777777" w:rsidR="0001750A" w:rsidRDefault="0001750A" w:rsidP="00EC342C"/>
        </w:tc>
      </w:tr>
    </w:tbl>
    <w:p w14:paraId="6A1232C1" w14:textId="77777777" w:rsidR="0071430E" w:rsidRDefault="0071430E" w:rsidP="000F70AA"/>
    <w:p w14:paraId="5731F2E0" w14:textId="77777777" w:rsidR="00231A03" w:rsidRPr="006433E2" w:rsidRDefault="00231A03" w:rsidP="00231A03">
      <w:pPr>
        <w:rPr>
          <w:b/>
        </w:rPr>
      </w:pPr>
      <w:r w:rsidRPr="006433E2">
        <w:rPr>
          <w:b/>
        </w:rPr>
        <w:t>Beregn koncentrationen af ethansyre ud fra de to titreringer</w:t>
      </w:r>
      <w:r w:rsidR="006433E2">
        <w:rPr>
          <w:b/>
        </w:rPr>
        <w:t>: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916"/>
        <w:gridCol w:w="2472"/>
        <w:gridCol w:w="5240"/>
      </w:tblGrid>
      <w:tr w:rsidR="0001750A" w14:paraId="42A5304B" w14:textId="77777777" w:rsidTr="00FF0F4B">
        <w:tc>
          <w:tcPr>
            <w:tcW w:w="1932" w:type="dxa"/>
          </w:tcPr>
          <w:p w14:paraId="323F5045" w14:textId="77777777" w:rsidR="0001750A" w:rsidRPr="0001750A" w:rsidRDefault="0001750A" w:rsidP="00FF0F4B">
            <w:pPr>
              <w:rPr>
                <w:b/>
              </w:rPr>
            </w:pPr>
            <w:r w:rsidRPr="0001750A">
              <w:rPr>
                <w:b/>
              </w:rPr>
              <w:t>Indikator</w:t>
            </w:r>
          </w:p>
        </w:tc>
        <w:tc>
          <w:tcPr>
            <w:tcW w:w="2508" w:type="dxa"/>
          </w:tcPr>
          <w:p w14:paraId="41F73930" w14:textId="73FFA3DF" w:rsidR="0001750A" w:rsidRPr="0001750A" w:rsidRDefault="00000000" w:rsidP="00FF0F4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NaOH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mL</m:t>
                </m:r>
              </m:oMath>
            </m:oMathPara>
          </w:p>
        </w:tc>
        <w:tc>
          <w:tcPr>
            <w:tcW w:w="5338" w:type="dxa"/>
          </w:tcPr>
          <w:p w14:paraId="4459C346" w14:textId="19A685DE" w:rsidR="0001750A" w:rsidRDefault="00000000" w:rsidP="00FF0F4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syre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mallCaps/>
                    <w:szCs w:val="24"/>
                  </w:rPr>
                  <m:t>m</m:t>
                </m:r>
              </m:oMath>
            </m:oMathPara>
          </w:p>
        </w:tc>
      </w:tr>
      <w:tr w:rsidR="0001750A" w14:paraId="6495E127" w14:textId="77777777" w:rsidTr="004C5476">
        <w:tc>
          <w:tcPr>
            <w:tcW w:w="1932" w:type="dxa"/>
          </w:tcPr>
          <w:p w14:paraId="6778806C" w14:textId="205ADFF0" w:rsidR="0001750A" w:rsidRPr="0001750A" w:rsidRDefault="0001750A" w:rsidP="00FF0F4B">
            <w:pPr>
              <w:rPr>
                <w:b/>
              </w:rPr>
            </w:pPr>
            <w:proofErr w:type="spellStart"/>
            <w:r w:rsidRPr="0001750A">
              <w:rPr>
                <w:b/>
              </w:rPr>
              <w:t>Methylrødt</w:t>
            </w:r>
            <w:proofErr w:type="spellEnd"/>
          </w:p>
        </w:tc>
        <w:tc>
          <w:tcPr>
            <w:tcW w:w="0" w:type="auto"/>
          </w:tcPr>
          <w:p w14:paraId="14E38EFF" w14:textId="77777777" w:rsidR="0001750A" w:rsidRDefault="0001750A" w:rsidP="00FF0F4B"/>
        </w:tc>
        <w:tc>
          <w:tcPr>
            <w:tcW w:w="0" w:type="auto"/>
          </w:tcPr>
          <w:p w14:paraId="78F1855B" w14:textId="77777777" w:rsidR="0001750A" w:rsidRDefault="0001750A" w:rsidP="00FF0F4B"/>
        </w:tc>
      </w:tr>
      <w:tr w:rsidR="0001750A" w14:paraId="0611EB7B" w14:textId="77777777" w:rsidTr="004C5476">
        <w:tc>
          <w:tcPr>
            <w:tcW w:w="1932" w:type="dxa"/>
          </w:tcPr>
          <w:p w14:paraId="22247535" w14:textId="594DC078" w:rsidR="0001750A" w:rsidRPr="0001750A" w:rsidRDefault="0001750A" w:rsidP="00FF0F4B">
            <w:pPr>
              <w:rPr>
                <w:b/>
              </w:rPr>
            </w:pPr>
            <w:proofErr w:type="spellStart"/>
            <w:r w:rsidRPr="0001750A">
              <w:rPr>
                <w:b/>
              </w:rPr>
              <w:t>Phenolphthalein</w:t>
            </w:r>
            <w:proofErr w:type="spellEnd"/>
          </w:p>
        </w:tc>
        <w:tc>
          <w:tcPr>
            <w:tcW w:w="0" w:type="auto"/>
          </w:tcPr>
          <w:p w14:paraId="6BB1274D" w14:textId="77777777" w:rsidR="0001750A" w:rsidRDefault="0001750A" w:rsidP="00FF0F4B"/>
        </w:tc>
        <w:tc>
          <w:tcPr>
            <w:tcW w:w="0" w:type="auto"/>
          </w:tcPr>
          <w:p w14:paraId="063DA5E5" w14:textId="77777777" w:rsidR="0001750A" w:rsidRDefault="0001750A" w:rsidP="00FF0F4B"/>
        </w:tc>
      </w:tr>
    </w:tbl>
    <w:p w14:paraId="78838461" w14:textId="77777777" w:rsidR="0001750A" w:rsidRDefault="0001750A" w:rsidP="00231A03"/>
    <w:p w14:paraId="5C4621FD" w14:textId="77777777" w:rsidR="00231A03" w:rsidRPr="006433E2" w:rsidRDefault="0001750A" w:rsidP="000F70AA">
      <w:pPr>
        <w:rPr>
          <w:b/>
        </w:rPr>
      </w:pPr>
      <w:r w:rsidRPr="006433E2">
        <w:rPr>
          <w:b/>
        </w:rPr>
        <w:t>Diskuter resultaterne</w:t>
      </w:r>
      <w:r w:rsidR="006433E2">
        <w:rPr>
          <w:b/>
        </w:rPr>
        <w:t>:</w:t>
      </w:r>
    </w:p>
    <w:p w14:paraId="0992D6EE" w14:textId="77777777" w:rsidR="000F70AA" w:rsidRPr="000F70AA" w:rsidRDefault="000F70AA" w:rsidP="000F70AA"/>
    <w:sectPr w:rsidR="000F70AA" w:rsidRPr="000F70AA" w:rsidSect="00715245">
      <w:footerReference w:type="even" r:id="rId11"/>
      <w:footerReference w:type="default" r:id="rId12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6BC89" w14:textId="77777777" w:rsidR="00026D58" w:rsidRDefault="00026D58">
      <w:r>
        <w:separator/>
      </w:r>
    </w:p>
  </w:endnote>
  <w:endnote w:type="continuationSeparator" w:id="0">
    <w:p w14:paraId="0D9681B5" w14:textId="77777777" w:rsidR="00026D58" w:rsidRDefault="000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1811543961"/>
      <w:docPartObj>
        <w:docPartGallery w:val="Page Numbers (Bottom of Page)"/>
        <w:docPartUnique/>
      </w:docPartObj>
    </w:sdtPr>
    <w:sdtContent>
      <w:p w14:paraId="6E6F5998" w14:textId="1860860E" w:rsidR="00AD7689" w:rsidRDefault="00AD7689" w:rsidP="00D1683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59B35E5" w14:textId="77777777" w:rsidR="00AD7689" w:rsidRDefault="00AD7689" w:rsidP="00AD768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983205260"/>
      <w:docPartObj>
        <w:docPartGallery w:val="Page Numbers (Bottom of Page)"/>
        <w:docPartUnique/>
      </w:docPartObj>
    </w:sdtPr>
    <w:sdtContent>
      <w:p w14:paraId="765A56FA" w14:textId="1F4293A2" w:rsidR="00AD7689" w:rsidRDefault="00AD7689" w:rsidP="00D1683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36B26F08" w14:textId="77777777" w:rsidR="00AD7689" w:rsidRDefault="00AD7689" w:rsidP="00AD7689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82030" w14:textId="77777777" w:rsidR="00026D58" w:rsidRDefault="00026D58">
      <w:r>
        <w:separator/>
      </w:r>
    </w:p>
  </w:footnote>
  <w:footnote w:type="continuationSeparator" w:id="0">
    <w:p w14:paraId="3D31F2BA" w14:textId="77777777" w:rsidR="00026D58" w:rsidRDefault="00026D58">
      <w:r>
        <w:continuationSeparator/>
      </w:r>
    </w:p>
  </w:footnote>
  <w:footnote w:id="1">
    <w:p w14:paraId="720A5478" w14:textId="44499346" w:rsidR="000C0B32" w:rsidRDefault="000C0B32" w:rsidP="00663D02">
      <w:pPr>
        <w:pStyle w:val="Fodnotetekst"/>
        <w:jc w:val="both"/>
      </w:pPr>
      <w:r>
        <w:rPr>
          <w:rStyle w:val="Fodnotehenvisning"/>
        </w:rPr>
        <w:footnoteRef/>
      </w:r>
      <w:r>
        <w:t xml:space="preserve"> I et universalindikatorpapir benyttes forskellige syre-baseindikatorer. Hver af disse indikatorer har forskellige farver afhængigt af surhedsgraden i en opløsning. Derved kan der laves en sammenhæng mellem pH værdien og forskellige farver på universalindikatorpapiret.</w:t>
      </w:r>
    </w:p>
  </w:footnote>
  <w:footnote w:id="2">
    <w:p w14:paraId="11578259" w14:textId="77777777" w:rsidR="000C0B32" w:rsidRDefault="000C0B32" w:rsidP="00663D02">
      <w:pPr>
        <w:pStyle w:val="Fodnotetekst"/>
        <w:jc w:val="both"/>
      </w:pPr>
      <w:r>
        <w:rPr>
          <w:rStyle w:val="Fodnotehenvisning"/>
        </w:rPr>
        <w:footnoteRef/>
      </w:r>
      <w:r>
        <w:t xml:space="preserve"> Navnet kolorimetrisk titrering kommer selvfølgelig fra engelsk, </w:t>
      </w:r>
      <w:proofErr w:type="spellStart"/>
      <w:r>
        <w:t>colour</w:t>
      </w:r>
      <w:proofErr w:type="spellEnd"/>
      <w:r>
        <w:t>. Titreringen skal iagttages ved en ændring i opløsningens farve.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13B6"/>
    <w:multiLevelType w:val="hybridMultilevel"/>
    <w:tmpl w:val="AA54D08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0A6B9D"/>
    <w:multiLevelType w:val="hybridMultilevel"/>
    <w:tmpl w:val="829E65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5980318">
    <w:abstractNumId w:val="0"/>
  </w:num>
  <w:num w:numId="2" w16cid:durableId="46000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F9"/>
    <w:rsid w:val="00014B50"/>
    <w:rsid w:val="0001750A"/>
    <w:rsid w:val="00026D58"/>
    <w:rsid w:val="0004415D"/>
    <w:rsid w:val="00076B9D"/>
    <w:rsid w:val="000B2EF5"/>
    <w:rsid w:val="000C0B32"/>
    <w:rsid w:val="000F70AA"/>
    <w:rsid w:val="00115831"/>
    <w:rsid w:val="001750AF"/>
    <w:rsid w:val="001A6B2E"/>
    <w:rsid w:val="001E77FA"/>
    <w:rsid w:val="00222B51"/>
    <w:rsid w:val="00231A03"/>
    <w:rsid w:val="00236201"/>
    <w:rsid w:val="0028224F"/>
    <w:rsid w:val="002937C8"/>
    <w:rsid w:val="002E68EC"/>
    <w:rsid w:val="00333335"/>
    <w:rsid w:val="0036278E"/>
    <w:rsid w:val="003C1991"/>
    <w:rsid w:val="003D4337"/>
    <w:rsid w:val="003D6617"/>
    <w:rsid w:val="00472E44"/>
    <w:rsid w:val="004B573E"/>
    <w:rsid w:val="004C5476"/>
    <w:rsid w:val="004E4E2B"/>
    <w:rsid w:val="00575D4D"/>
    <w:rsid w:val="00581DD9"/>
    <w:rsid w:val="005A3264"/>
    <w:rsid w:val="006433E2"/>
    <w:rsid w:val="006613F0"/>
    <w:rsid w:val="00663D02"/>
    <w:rsid w:val="00682F6C"/>
    <w:rsid w:val="00691FD7"/>
    <w:rsid w:val="0071430E"/>
    <w:rsid w:val="00715245"/>
    <w:rsid w:val="007C2C3D"/>
    <w:rsid w:val="00805D20"/>
    <w:rsid w:val="00810396"/>
    <w:rsid w:val="00843750"/>
    <w:rsid w:val="008A642C"/>
    <w:rsid w:val="008B513D"/>
    <w:rsid w:val="008E7A2E"/>
    <w:rsid w:val="008F76F9"/>
    <w:rsid w:val="00A07D12"/>
    <w:rsid w:val="00A2536C"/>
    <w:rsid w:val="00A8115F"/>
    <w:rsid w:val="00AD7689"/>
    <w:rsid w:val="00AD7A41"/>
    <w:rsid w:val="00B1181B"/>
    <w:rsid w:val="00B62913"/>
    <w:rsid w:val="00B97E38"/>
    <w:rsid w:val="00C26D57"/>
    <w:rsid w:val="00C57CF5"/>
    <w:rsid w:val="00CB379D"/>
    <w:rsid w:val="00CE764F"/>
    <w:rsid w:val="00D44BBC"/>
    <w:rsid w:val="00E42B82"/>
    <w:rsid w:val="00E52D02"/>
    <w:rsid w:val="00E658AD"/>
    <w:rsid w:val="00EC342C"/>
    <w:rsid w:val="00ED547D"/>
    <w:rsid w:val="00EE1D35"/>
    <w:rsid w:val="00F212C9"/>
    <w:rsid w:val="00F73033"/>
    <w:rsid w:val="00F85863"/>
    <w:rsid w:val="00FB2209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72B5E"/>
  <w15:docId w15:val="{5419B1F7-3643-4831-90D8-50E4C409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913"/>
    <w:pPr>
      <w:widowControl w:val="0"/>
      <w:autoSpaceDE w:val="0"/>
      <w:autoSpaceDN w:val="0"/>
      <w:adjustRightInd w:val="0"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rsid w:val="008F76F9"/>
    <w:pPr>
      <w:keepNext/>
      <w:outlineLvl w:val="0"/>
    </w:pPr>
    <w:rPr>
      <w:rFonts w:ascii="Arial" w:hAnsi="Arial" w:cs="Arial"/>
      <w:b/>
      <w:bCs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8F76F9"/>
    <w:pPr>
      <w:spacing w:before="100" w:beforeAutospacing="1"/>
      <w:jc w:val="center"/>
    </w:pPr>
    <w:rPr>
      <w:rFonts w:ascii="Arial" w:hAnsi="Arial" w:cs="Arial"/>
      <w:b/>
      <w:bCs/>
      <w:sz w:val="30"/>
      <w:szCs w:val="30"/>
    </w:rPr>
  </w:style>
  <w:style w:type="paragraph" w:styleId="Billedtekst">
    <w:name w:val="caption"/>
    <w:basedOn w:val="Normal"/>
    <w:next w:val="Normal"/>
    <w:qFormat/>
    <w:rsid w:val="00115831"/>
    <w:rPr>
      <w:b/>
      <w:bCs/>
      <w:sz w:val="20"/>
    </w:rPr>
  </w:style>
  <w:style w:type="paragraph" w:styleId="Fodnotetekst">
    <w:name w:val="footnote text"/>
    <w:basedOn w:val="Normal"/>
    <w:semiHidden/>
    <w:rsid w:val="008B513D"/>
    <w:rPr>
      <w:sz w:val="20"/>
    </w:rPr>
  </w:style>
  <w:style w:type="character" w:styleId="Fodnotehenvisning">
    <w:name w:val="footnote reference"/>
    <w:basedOn w:val="Standardskrifttypeiafsnit"/>
    <w:semiHidden/>
    <w:rsid w:val="008B513D"/>
    <w:rPr>
      <w:vertAlign w:val="superscript"/>
    </w:rPr>
  </w:style>
  <w:style w:type="paragraph" w:styleId="Brdtekst">
    <w:name w:val="Body Text"/>
    <w:basedOn w:val="Normal"/>
    <w:rsid w:val="008B513D"/>
    <w:rPr>
      <w:szCs w:val="24"/>
    </w:rPr>
  </w:style>
  <w:style w:type="table" w:styleId="Tabel-Gitter">
    <w:name w:val="Table Grid"/>
    <w:basedOn w:val="Tabel-Normal"/>
    <w:rsid w:val="000F70A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04415D"/>
    <w:rPr>
      <w:color w:val="808080"/>
    </w:rPr>
  </w:style>
  <w:style w:type="paragraph" w:styleId="Sidefod">
    <w:name w:val="footer"/>
    <w:basedOn w:val="Normal"/>
    <w:link w:val="SidefodTegn"/>
    <w:unhideWhenUsed/>
    <w:rsid w:val="00AD76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D7689"/>
    <w:rPr>
      <w:rFonts w:ascii="Calibri" w:hAnsi="Calibri"/>
      <w:sz w:val="22"/>
    </w:rPr>
  </w:style>
  <w:style w:type="character" w:styleId="Sidetal">
    <w:name w:val="page number"/>
    <w:basedOn w:val="Standardskrifttypeiafsnit"/>
    <w:semiHidden/>
    <w:unhideWhenUsed/>
    <w:rsid w:val="00AD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4D101555651E46BDCF4A76DAFBDAE2" ma:contentTypeVersion="2" ma:contentTypeDescription="Opret et nyt dokument." ma:contentTypeScope="" ma:versionID="4f799f1b4f6d3124237580aa626cc347">
  <xsd:schema xmlns:xsd="http://www.w3.org/2001/XMLSchema" xmlns:xs="http://www.w3.org/2001/XMLSchema" xmlns:p="http://schemas.microsoft.com/office/2006/metadata/properties" xmlns:ns2="84194c36-a0d5-4d25-8f27-c6bfd7d2c546" targetNamespace="http://schemas.microsoft.com/office/2006/metadata/properties" ma:root="true" ma:fieldsID="cc86603272995191c8208911809b49fa" ns2:_="">
    <xsd:import namespace="84194c36-a0d5-4d25-8f27-c6bfd7d2c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4c36-a0d5-4d25-8f27-c6bfd7d2c5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223B6-DCE7-40AF-BB85-509DB5E83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4c36-a0d5-4d25-8f27-c6bfd7d2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2539D-89F1-45AA-BCBB-AF00C71B5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9192A-A12D-4C9E-89A9-6C85487566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882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Syre-baseindikatorers farver</vt:lpstr>
    </vt:vector>
  </TitlesOfParts>
  <Company>UVM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Syre-baseindikatorers farver</dc:title>
  <dc:creator>KENIE3</dc:creator>
  <cp:lastModifiedBy>Anders Almlund Osted</cp:lastModifiedBy>
  <cp:revision>16</cp:revision>
  <cp:lastPrinted>2011-03-20T13:25:00Z</cp:lastPrinted>
  <dcterms:created xsi:type="dcterms:W3CDTF">2022-11-23T13:26:00Z</dcterms:created>
  <dcterms:modified xsi:type="dcterms:W3CDTF">2024-11-28T19:14:00Z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0x010100354D101555651E46BDCF4A76DAFBDAE2</vt:lpwstr>
  </property>
</Properties>
</file>