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A98C2" w14:textId="77777777" w:rsidR="001B7284" w:rsidRPr="00356A50" w:rsidRDefault="00356A50" w:rsidP="00356A50">
      <w:pPr>
        <w:pStyle w:val="Overskrift1"/>
        <w:rPr>
          <w:sz w:val="28"/>
          <w:szCs w:val="28"/>
        </w:rPr>
      </w:pPr>
      <w:r w:rsidRPr="00356A50">
        <w:rPr>
          <w:sz w:val="28"/>
          <w:szCs w:val="28"/>
        </w:rPr>
        <w:t>Husholdningseddike: Kolorimetrisk og potentiometrisk titrering</w:t>
      </w:r>
    </w:p>
    <w:p w14:paraId="5A133386" w14:textId="77777777" w:rsidR="00356A50" w:rsidRDefault="004B4471" w:rsidP="00356A50">
      <w:pPr>
        <w:jc w:val="right"/>
      </w:pPr>
      <w:r>
        <w:t>Rapport</w:t>
      </w:r>
      <w:r w:rsidR="00356A50">
        <w:t>øvelse</w:t>
      </w:r>
    </w:p>
    <w:p w14:paraId="2DAC8ED9" w14:textId="77777777" w:rsidR="00356A50" w:rsidRDefault="00356A50" w:rsidP="00356A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Formål</w:t>
      </w:r>
    </w:p>
    <w:p w14:paraId="4FF0D547" w14:textId="77777777" w:rsidR="00356A50" w:rsidRDefault="00356A50">
      <w:r>
        <w:t>Formålet er at bestemme indholdet af eddikesyre i husholdningseddike ved såvel kolorimetrisk som potentiometrisk syre-basetitrering.</w:t>
      </w:r>
    </w:p>
    <w:p w14:paraId="6532D258" w14:textId="77777777" w:rsidR="00356A50" w:rsidRDefault="00356A50"/>
    <w:p w14:paraId="69BC53BB" w14:textId="77777777" w:rsidR="00356A50" w:rsidRDefault="00356A50" w:rsidP="00356A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Teori</w:t>
      </w:r>
    </w:p>
    <w:p w14:paraId="78E51DFF" w14:textId="54114A16" w:rsidR="008D2266" w:rsidRDefault="00BB6EAD" w:rsidP="00BB6EAD">
      <w:r>
        <w:t>Husholdningseddike indeholder syre</w:t>
      </w:r>
      <w:r w:rsidR="00CC204E">
        <w:t>n</w:t>
      </w:r>
      <w:r>
        <w:t xml:space="preserve"> eddikesyre. Eddikesyre har formlen</w:t>
      </w:r>
      <w:r w:rsidR="00CD089D">
        <w:t xml:space="preserve"> </w:t>
      </w:r>
      <m:oMath>
        <m:r>
          <m:rPr>
            <m:sty m:val="p"/>
          </m:rPr>
          <w:rPr>
            <w:rFonts w:ascii="Cambria Math" w:hAnsi="Cambria Math"/>
          </w:rPr>
          <m:t>C</m:t>
        </m:r>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COOH</m:t>
        </m:r>
      </m:oMath>
      <w:r>
        <w:t xml:space="preserve"> og kaldes også ethansyre.</w:t>
      </w:r>
    </w:p>
    <w:p w14:paraId="08BCC384" w14:textId="4C70AEFE" w:rsidR="00BB6EAD" w:rsidRDefault="00CC204E" w:rsidP="00616072">
      <w:pPr>
        <w:pStyle w:val="Listeafsnit"/>
        <w:numPr>
          <w:ilvl w:val="0"/>
          <w:numId w:val="9"/>
        </w:numPr>
      </w:pPr>
      <w:r>
        <w:t>Tegn ethansyre</w:t>
      </w:r>
      <w:r w:rsidR="00DA46E1">
        <w:t xml:space="preserve"> i MarvinSketch med alle atomer vist.</w:t>
      </w:r>
      <w:r w:rsidR="00BE2A62">
        <w:t xml:space="preserve"> Forklar hvorfor ethansyre er opløselig i vand.</w:t>
      </w:r>
    </w:p>
    <w:p w14:paraId="4CA54671" w14:textId="77777777" w:rsidR="008D2266" w:rsidRDefault="008D2266" w:rsidP="00BB6EAD"/>
    <w:p w14:paraId="7B8C2C52" w14:textId="2A5AA8C5" w:rsidR="00BE04D9" w:rsidRDefault="00BB6EAD" w:rsidP="004D6298">
      <w:pPr>
        <w:jc w:val="both"/>
      </w:pPr>
      <w:r>
        <w:t>Eddikesyre bruges bl.a. i husholdningen til afkalkning af fx kaffemaskiner. Når eddikesyre anvendes under betegnelsen eddike eller husholdningseddike, betragtes det som et almindeligt levnedsmiddel. Eddike har en konserverende virkning og anvendes desuden til at give en sur smag i fx dressing</w:t>
      </w:r>
      <w:r w:rsidR="008D2266">
        <w:t xml:space="preserve"> og</w:t>
      </w:r>
      <w:r>
        <w:t xml:space="preserve"> mayonnaise. Koncentreret eddikesyre, også kaldet iseddike, er ætsende. I husholdningseddike og fødevare</w:t>
      </w:r>
      <w:r w:rsidR="004D6298">
        <w:t>r</w:t>
      </w:r>
      <w:r>
        <w:t xml:space="preserve"> er eddikesyres koncentration meget lavere end i iseddike, og eddikesyre udgør i fødevarer derfor </w:t>
      </w:r>
      <w:r w:rsidR="008D2266">
        <w:t>ikke et</w:t>
      </w:r>
      <w:r>
        <w:t xml:space="preserve"> sundhedsmæssig</w:t>
      </w:r>
      <w:r w:rsidR="008D2266">
        <w:t>t problem</w:t>
      </w:r>
      <w:r>
        <w:t>.</w:t>
      </w:r>
    </w:p>
    <w:tbl>
      <w:tblPr>
        <w:tblStyle w:val="Tabel-Git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995"/>
        <w:gridCol w:w="4671"/>
      </w:tblGrid>
      <w:tr w:rsidR="00283BA3" w14:paraId="67B32155" w14:textId="77777777" w:rsidTr="00283BA3">
        <w:tc>
          <w:tcPr>
            <w:tcW w:w="4995" w:type="dxa"/>
          </w:tcPr>
          <w:p w14:paraId="4B8D4CBC" w14:textId="60693531" w:rsidR="001B2051" w:rsidRDefault="00BE04D9" w:rsidP="004D6298">
            <w:pPr>
              <w:jc w:val="both"/>
            </w:pPr>
            <w:r>
              <w:t>Eddikesyre er en svag syre. De</w:t>
            </w:r>
            <w:r w:rsidR="00906047">
              <w:t>n</w:t>
            </w:r>
            <w:r>
              <w:t>s koncentration i husholdningseddike kan bestemmes ved en kolorimetrisk syre-basetitrering (i en kolorimetrisk titrering benyttes et farveskift til at bestemme ækvivalenspunktet). Ved titreringen er eddikesyreopløsning</w:t>
            </w:r>
            <w:r w:rsidR="00132607">
              <w:t>en</w:t>
            </w:r>
            <w:r>
              <w:t xml:space="preserve"> </w:t>
            </w:r>
            <w:r w:rsidRPr="00132607">
              <w:rPr>
                <w:b/>
                <w:bCs/>
                <w:i/>
                <w:iCs/>
              </w:rPr>
              <w:t>titranden</w:t>
            </w:r>
            <w:r>
              <w:t>, natrium</w:t>
            </w:r>
            <w:r w:rsidR="00132607">
              <w:t>(1+)</w:t>
            </w:r>
            <w:r>
              <w:t xml:space="preserve">hydroxid </w:t>
            </w:r>
            <w:proofErr w:type="spellStart"/>
            <w:r w:rsidRPr="00132607">
              <w:rPr>
                <w:b/>
                <w:bCs/>
                <w:i/>
                <w:iCs/>
              </w:rPr>
              <w:t>titrator</w:t>
            </w:r>
            <w:proofErr w:type="spellEnd"/>
            <w:r>
              <w:t xml:space="preserve"> og fx </w:t>
            </w:r>
            <w:proofErr w:type="spellStart"/>
            <w:r>
              <w:t>phenolphthalein</w:t>
            </w:r>
            <w:proofErr w:type="spellEnd"/>
            <w:r>
              <w:t xml:space="preserve"> </w:t>
            </w:r>
            <w:r w:rsidRPr="00132607">
              <w:rPr>
                <w:b/>
                <w:bCs/>
                <w:i/>
                <w:iCs/>
              </w:rPr>
              <w:t>indikator</w:t>
            </w:r>
            <w:r>
              <w:t xml:space="preserve">. En syre-base indikator er en svag syre, og for </w:t>
            </w:r>
            <w:proofErr w:type="spellStart"/>
            <w:r>
              <w:t>phenolphthalein</w:t>
            </w:r>
            <w:proofErr w:type="spellEnd"/>
            <w:r>
              <w:t xml:space="preserve"> er </w:t>
            </w:r>
            <m:oMath>
              <m:r>
                <m:rPr>
                  <m:sty m:val="p"/>
                </m:rPr>
                <w:rPr>
                  <w:rFonts w:ascii="Cambria Math" w:hAnsi="Cambria Math"/>
                </w:rPr>
                <m:t>p</m:t>
              </m:r>
              <m:sSub>
                <m:sSubPr>
                  <m:ctrlPr>
                    <w:rPr>
                      <w:rFonts w:ascii="Cambria Math" w:hAnsi="Cambria Math"/>
                      <w:i/>
                    </w:rPr>
                  </m:ctrlPr>
                </m:sSubPr>
                <m:e>
                  <m:r>
                    <w:rPr>
                      <w:rFonts w:ascii="Cambria Math" w:hAnsi="Cambria Math"/>
                    </w:rPr>
                    <m:t>K</m:t>
                  </m:r>
                </m:e>
                <m:sub>
                  <m:r>
                    <m:rPr>
                      <m:sty m:val="p"/>
                    </m:rPr>
                    <w:rPr>
                      <w:rFonts w:ascii="Cambria Math" w:hAnsi="Cambria Math"/>
                      <w:vertAlign w:val="subscript"/>
                    </w:rPr>
                    <m:t>s</m:t>
                  </m:r>
                </m:sub>
              </m:sSub>
            </m:oMath>
            <w:r>
              <w:t xml:space="preserve"> værdien 9,7. Phenolphthaleins sure form er farveløs, mens dets basiske form er </w:t>
            </w:r>
            <w:r w:rsidR="00EE5570">
              <w:t>pink</w:t>
            </w:r>
            <w:r w:rsidR="00C8520D">
              <w:t xml:space="preserve">, </w:t>
            </w:r>
            <w:r w:rsidR="00E715B3">
              <w:t>som vist på figuren til højre.</w:t>
            </w:r>
          </w:p>
        </w:tc>
        <w:tc>
          <w:tcPr>
            <w:tcW w:w="4671" w:type="dxa"/>
          </w:tcPr>
          <w:p w14:paraId="06C5A762" w14:textId="4C9AA6F2" w:rsidR="001B2051" w:rsidRDefault="00283BA3" w:rsidP="00283BA3">
            <w:pPr>
              <w:jc w:val="right"/>
            </w:pPr>
            <w:r>
              <w:rPr>
                <w:noProof/>
              </w:rPr>
              <w:drawing>
                <wp:inline distT="0" distB="0" distL="0" distR="0" wp14:anchorId="64035EDD" wp14:editId="528F4834">
                  <wp:extent cx="2846540" cy="1728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6540" cy="1728000"/>
                          </a:xfrm>
                          <a:prstGeom prst="rect">
                            <a:avLst/>
                          </a:prstGeom>
                        </pic:spPr>
                      </pic:pic>
                    </a:graphicData>
                  </a:graphic>
                </wp:inline>
              </w:drawing>
            </w:r>
          </w:p>
        </w:tc>
      </w:tr>
    </w:tbl>
    <w:p w14:paraId="5E12A5B3" w14:textId="2CA5654E" w:rsidR="00BB6EAD" w:rsidRDefault="00BB6EAD" w:rsidP="00BB6EAD"/>
    <w:p w14:paraId="0C6BAC7B" w14:textId="7DD8AF1A" w:rsidR="00BB6EAD" w:rsidRDefault="00BB6EAD" w:rsidP="00DD5D8E">
      <w:pPr>
        <w:pStyle w:val="Listeafsnit"/>
        <w:numPr>
          <w:ilvl w:val="0"/>
          <w:numId w:val="9"/>
        </w:numPr>
        <w:jc w:val="both"/>
      </w:pPr>
      <w:r>
        <w:t>Hvilken farve har phenolphthalein i henholdsvis en sur, neutral og basisk opløsning?</w:t>
      </w:r>
      <w:r>
        <w:br/>
        <w:t>(Hjælp: Antag pH er henholdsvis 3, 7 og 10</w:t>
      </w:r>
      <w:r w:rsidR="00BE04D9">
        <w:t>, og benyt bjerrumdiagrammet</w:t>
      </w:r>
      <w:r w:rsidR="004C7A0F">
        <w:t xml:space="preserve"> - husk at forklare aflæsningen.</w:t>
      </w:r>
      <w:r>
        <w:t>)</w:t>
      </w:r>
    </w:p>
    <w:p w14:paraId="19C4A61B" w14:textId="77777777" w:rsidR="00BB6EAD" w:rsidRDefault="00BB6EAD" w:rsidP="00BB6EAD"/>
    <w:p w14:paraId="28250EDC" w14:textId="12BBF56F" w:rsidR="008D2266" w:rsidRDefault="00BB6EAD" w:rsidP="00DD5D8E">
      <w:pPr>
        <w:jc w:val="both"/>
      </w:pPr>
      <w:r>
        <w:t xml:space="preserve">Titreringen forløber ved </w:t>
      </w:r>
      <w:r w:rsidR="00BE04D9">
        <w:t>nedenstående</w:t>
      </w:r>
      <w:r>
        <w:t xml:space="preserve"> reaktion</w:t>
      </w:r>
      <w:r w:rsidR="00BE04D9">
        <w:t>. Ofte benyttes natrium</w:t>
      </w:r>
      <w:r w:rsidR="00554BD0">
        <w:t>(1+)</w:t>
      </w:r>
      <w:r w:rsidR="00BE04D9">
        <w:t>hydroxid ved titrering af eddikesyre.</w:t>
      </w:r>
    </w:p>
    <w:p w14:paraId="4FC36CE7" w14:textId="77777777" w:rsidR="00024533" w:rsidRDefault="00024533" w:rsidP="00DD5D8E">
      <w:pPr>
        <w:jc w:val="both"/>
      </w:pPr>
    </w:p>
    <w:tbl>
      <w:tblPr>
        <w:tblStyle w:val="Tabel-Gitter"/>
        <w:tblW w:w="50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8827"/>
        <w:gridCol w:w="462"/>
      </w:tblGrid>
      <w:tr w:rsidR="00024533" w:rsidRPr="00024533" w14:paraId="24FE9D61" w14:textId="77777777" w:rsidTr="00024533">
        <w:tc>
          <w:tcPr>
            <w:tcW w:w="217" w:type="pct"/>
            <w:shd w:val="clear" w:color="auto" w:fill="auto"/>
            <w:vAlign w:val="center"/>
          </w:tcPr>
          <w:p w14:paraId="73AF940B" w14:textId="77777777" w:rsidR="00024533" w:rsidRPr="00024533" w:rsidRDefault="00024533" w:rsidP="00024533"/>
        </w:tc>
        <w:tc>
          <w:tcPr>
            <w:tcW w:w="4545" w:type="pct"/>
            <w:shd w:val="clear" w:color="auto" w:fill="auto"/>
            <w:vAlign w:val="center"/>
          </w:tcPr>
          <w:p w14:paraId="31CF6242" w14:textId="1EBDAA76" w:rsidR="00024533" w:rsidRPr="00024533" w:rsidRDefault="00024533" w:rsidP="00024533">
            <w:pPr>
              <w:jc w:val="center"/>
            </w:pPr>
            <m:oMathPara>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COOH</m:t>
                </m:r>
                <m:d>
                  <m:dPr>
                    <m:ctrlPr>
                      <w:rPr>
                        <w:rFonts w:ascii="Cambria Math" w:hAnsi="Cambria Math"/>
                      </w:rPr>
                    </m:ctrlPr>
                  </m:dPr>
                  <m:e>
                    <m:r>
                      <m:rPr>
                        <m:sty m:val="p"/>
                      </m:rPr>
                      <w:rPr>
                        <w:rFonts w:ascii="Cambria Math" w:hAnsi="Cambria Math"/>
                      </w:rPr>
                      <m:t>aq</m:t>
                    </m:r>
                  </m:e>
                </m:d>
                <m:r>
                  <m:rPr>
                    <m:sty m:val="p"/>
                  </m:rPr>
                  <w:rPr>
                    <w:rFonts w:ascii="Cambria Math" w:hAnsi="Cambria Math"/>
                  </w:rPr>
                  <m:t>+H</m:t>
                </m:r>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d>
                  <m:dPr>
                    <m:ctrlPr>
                      <w:rPr>
                        <w:rFonts w:ascii="Cambria Math" w:hAnsi="Cambria Math"/>
                      </w:rPr>
                    </m:ctrlPr>
                  </m:dPr>
                  <m:e>
                    <m:r>
                      <m:rPr>
                        <m:sty m:val="p"/>
                      </m:rPr>
                      <w:rPr>
                        <w:rFonts w:ascii="Cambria Math" w:hAnsi="Cambria Math"/>
                      </w:rPr>
                      <m:t>aq</m:t>
                    </m:r>
                  </m:e>
                </m:d>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m:t>
                </m:r>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d>
                  <m:dPr>
                    <m:ctrlPr>
                      <w:rPr>
                        <w:rFonts w:ascii="Cambria Math" w:hAnsi="Cambria Math"/>
                      </w:rPr>
                    </m:ctrlPr>
                  </m:dPr>
                  <m:e>
                    <m:r>
                      <m:rPr>
                        <m:sty m:val="p"/>
                      </m:rPr>
                      <w:rPr>
                        <w:rFonts w:ascii="Cambria Math" w:hAnsi="Cambria Math"/>
                      </w:rPr>
                      <m:t>aq</m:t>
                    </m:r>
                  </m:e>
                </m:d>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O(l)</m:t>
                </m:r>
              </m:oMath>
            </m:oMathPara>
          </w:p>
        </w:tc>
        <w:tc>
          <w:tcPr>
            <w:tcW w:w="238" w:type="pct"/>
            <w:shd w:val="clear" w:color="auto" w:fill="auto"/>
            <w:vAlign w:val="center"/>
          </w:tcPr>
          <w:p w14:paraId="7BF945FB" w14:textId="31AB89C3" w:rsidR="00024533" w:rsidRPr="00024533" w:rsidRDefault="00024533" w:rsidP="00024533">
            <w:pPr>
              <w:jc w:val="right"/>
            </w:pPr>
            <w:r w:rsidRPr="00024533">
              <w:fldChar w:fldCharType="begin"/>
            </w:r>
            <w:bookmarkStart w:id="0" w:name="_Ref120637772"/>
            <w:bookmarkEnd w:id="0"/>
            <w:r w:rsidRPr="00024533">
              <w:instrText xml:space="preserve"> LISTNUM "WMeq" "NumberDefault" \L 4 </w:instrText>
            </w:r>
            <w:r w:rsidRPr="00024533">
              <w:fldChar w:fldCharType="end"/>
            </w:r>
          </w:p>
        </w:tc>
      </w:tr>
    </w:tbl>
    <w:p w14:paraId="30B7D87A" w14:textId="684DFBA6" w:rsidR="00BB6EAD" w:rsidRPr="00554BD0" w:rsidRDefault="00BB6EAD" w:rsidP="00BB6EAD">
      <w:pPr>
        <w:rPr>
          <w:sz w:val="21"/>
          <w:szCs w:val="22"/>
          <w:lang w:val="en-US"/>
        </w:rPr>
      </w:pPr>
    </w:p>
    <w:p w14:paraId="068B58F7" w14:textId="264BE44B" w:rsidR="00BB6EAD" w:rsidRDefault="00BB6EAD" w:rsidP="00DD5D8E">
      <w:pPr>
        <w:pStyle w:val="Listeafsnit"/>
        <w:numPr>
          <w:ilvl w:val="0"/>
          <w:numId w:val="9"/>
        </w:numPr>
        <w:jc w:val="both"/>
      </w:pPr>
      <w:r>
        <w:t xml:space="preserve">Er reaktionsskemaet </w:t>
      </w:r>
      <w:r w:rsidR="00024533">
        <w:fldChar w:fldCharType="begin"/>
      </w:r>
      <w:r w:rsidR="00024533">
        <w:instrText xml:space="preserve"> REF _Ref120637772 \n \h </w:instrText>
      </w:r>
      <w:r w:rsidR="00024533">
        <w:fldChar w:fldCharType="separate"/>
      </w:r>
      <w:r w:rsidR="00024533">
        <w:t>(1)</w:t>
      </w:r>
      <w:r w:rsidR="00024533">
        <w:fldChar w:fldCharType="end"/>
      </w:r>
      <w:r w:rsidR="00024533">
        <w:t xml:space="preserve"> </w:t>
      </w:r>
      <w:r>
        <w:t>afstemt?</w:t>
      </w:r>
      <w:r w:rsidR="00554BD0">
        <w:t xml:space="preserve"> Forklar hvordan du vurderer det.</w:t>
      </w:r>
    </w:p>
    <w:p w14:paraId="2AE0A9AA" w14:textId="77777777" w:rsidR="00BE04D9" w:rsidRDefault="00616072" w:rsidP="00DD5D8E">
      <w:pPr>
        <w:pStyle w:val="Listeafsnit"/>
        <w:numPr>
          <w:ilvl w:val="0"/>
          <w:numId w:val="9"/>
        </w:numPr>
        <w:jc w:val="both"/>
      </w:pPr>
      <w:r>
        <w:t xml:space="preserve">Hvorfor udelades </w:t>
      </w:r>
      <w:r w:rsidRPr="0009667C">
        <w:t>natrium</w:t>
      </w:r>
      <w:r w:rsidR="008D2266" w:rsidRPr="0009667C">
        <w:t>(</w:t>
      </w:r>
      <w:r w:rsidR="008D2266">
        <w:t>1+)</w:t>
      </w:r>
      <w:r>
        <w:t xml:space="preserve"> af reaktionsskemaet ovenfor?</w:t>
      </w:r>
    </w:p>
    <w:p w14:paraId="07D99F80" w14:textId="6CF6FD72" w:rsidR="00BB6EAD" w:rsidRDefault="00BB6EAD" w:rsidP="00DD5D8E">
      <w:pPr>
        <w:pStyle w:val="Listeafsnit"/>
        <w:numPr>
          <w:ilvl w:val="0"/>
          <w:numId w:val="9"/>
        </w:numPr>
        <w:jc w:val="both"/>
      </w:pPr>
      <w:r>
        <w:t xml:space="preserve">Opskriv formlen der </w:t>
      </w:r>
      <w:r w:rsidR="00024533">
        <w:t>udtrykker</w:t>
      </w:r>
      <w:r w:rsidR="00554BD0">
        <w:t xml:space="preserve"> stofmængde</w:t>
      </w:r>
      <w:r>
        <w:t>koncentration</w:t>
      </w:r>
      <w:r w:rsidR="0013012C">
        <w:t>en</w:t>
      </w:r>
      <w:r w:rsidR="00024533">
        <w:t xml:space="preserve"> </w:t>
      </w:r>
      <w:r w:rsidR="0013012C">
        <w:t xml:space="preserve">af eddikesyre </w:t>
      </w:r>
      <w:r w:rsidR="00024533">
        <w:t>ved</w:t>
      </w:r>
      <w:r>
        <w:t xml:space="preserve"> stofmængde</w:t>
      </w:r>
      <w:r w:rsidR="00811D20">
        <w:t>n af eddikesyre</w:t>
      </w:r>
      <w:r>
        <w:t xml:space="preserve"> og </w:t>
      </w:r>
      <w:r w:rsidR="008D2266">
        <w:t>volumen</w:t>
      </w:r>
      <w:r w:rsidR="00811D20">
        <w:t xml:space="preserve"> af titrand</w:t>
      </w:r>
      <w:r>
        <w:t>.</w:t>
      </w:r>
    </w:p>
    <w:p w14:paraId="01BD7265" w14:textId="0B2F562C" w:rsidR="00811D20" w:rsidRDefault="00811D20" w:rsidP="00DD5D8E">
      <w:pPr>
        <w:pStyle w:val="Listeafsnit"/>
        <w:numPr>
          <w:ilvl w:val="0"/>
          <w:numId w:val="9"/>
        </w:numPr>
        <w:jc w:val="both"/>
      </w:pPr>
      <w:r>
        <w:t xml:space="preserve">Opskriv formlen der udtrykker stofmængden af natrium(1+)hydroxid ved stofmængdekoncentrationen </w:t>
      </w:r>
      <w:r w:rsidR="00392E22">
        <w:t xml:space="preserve">af NaOH </w:t>
      </w:r>
      <w:r>
        <w:t xml:space="preserve">og tilsat volumen af </w:t>
      </w:r>
      <w:proofErr w:type="spellStart"/>
      <w:r>
        <w:t>titrator</w:t>
      </w:r>
      <w:proofErr w:type="spellEnd"/>
      <w:r>
        <w:t>.</w:t>
      </w:r>
    </w:p>
    <w:p w14:paraId="42C8A294" w14:textId="77777777" w:rsidR="008D2266" w:rsidRDefault="008D2266" w:rsidP="00BB6EAD"/>
    <w:p w14:paraId="2611E0A2" w14:textId="77777777" w:rsidR="00BB6EAD" w:rsidRDefault="00BB6EAD" w:rsidP="00DD5D8E">
      <w:pPr>
        <w:jc w:val="both"/>
      </w:pPr>
      <w:r>
        <w:t>Ækvivalenspunktet er opnået, når der er tilsat den</w:t>
      </w:r>
      <w:r w:rsidR="00616072">
        <w:t xml:space="preserve"> samme stofmængde af hydroxid</w:t>
      </w:r>
      <w:r>
        <w:t xml:space="preserve">, som der oprindeligt var af eddikesyre, dvs. der er tilsat ækvivalente mængder af stofferne. </w:t>
      </w:r>
    </w:p>
    <w:p w14:paraId="16E36AAA" w14:textId="77777777" w:rsidR="00BB6EAD" w:rsidRDefault="00BB6EAD" w:rsidP="00BB6EAD"/>
    <w:p w14:paraId="2D7FBDFF" w14:textId="5513D4CD" w:rsidR="00616072" w:rsidRDefault="0087542F" w:rsidP="00DD5D8E">
      <w:pPr>
        <w:pStyle w:val="Listeafsnit"/>
        <w:numPr>
          <w:ilvl w:val="0"/>
          <w:numId w:val="9"/>
        </w:numPr>
        <w:jc w:val="both"/>
      </w:pPr>
      <w:r>
        <w:t xml:space="preserve">Hvorfor gælder ovenstående argument mellem stofmængderne af titrand </w:t>
      </w:r>
      <w:r w:rsidR="00DD5D8E">
        <w:t xml:space="preserve">og </w:t>
      </w:r>
      <w:proofErr w:type="spellStart"/>
      <w:r w:rsidR="00DD5D8E">
        <w:t>titrator</w:t>
      </w:r>
      <w:proofErr w:type="spellEnd"/>
      <w:r w:rsidR="00DD5D8E">
        <w:t xml:space="preserve">? </w:t>
      </w:r>
      <w:r w:rsidR="00BB6EAD">
        <w:t xml:space="preserve">Opskriv en </w:t>
      </w:r>
      <w:r w:rsidR="00BB6EAD">
        <w:lastRenderedPageBreak/>
        <w:t>formel som udtrykker at ”den ti</w:t>
      </w:r>
      <w:r w:rsidR="00616072">
        <w:t xml:space="preserve">lsatte </w:t>
      </w:r>
      <w:r w:rsidR="00616072" w:rsidRPr="008D2266">
        <w:rPr>
          <w:b/>
          <w:i/>
        </w:rPr>
        <w:t>stofmængde</w:t>
      </w:r>
      <w:r w:rsidR="00616072">
        <w:t xml:space="preserve"> af hydroxid</w:t>
      </w:r>
      <w:r w:rsidR="00BB6EAD">
        <w:t xml:space="preserve"> er lig med den oprindelige </w:t>
      </w:r>
      <w:r w:rsidR="00BB6EAD" w:rsidRPr="008D2266">
        <w:rPr>
          <w:b/>
          <w:i/>
        </w:rPr>
        <w:t>stofmængde</w:t>
      </w:r>
      <w:r w:rsidR="00BB6EAD">
        <w:t>, der var af eddikesyre”.</w:t>
      </w:r>
    </w:p>
    <w:p w14:paraId="74D7A3F2" w14:textId="77777777" w:rsidR="00565C36" w:rsidRDefault="00565C36" w:rsidP="00565C36">
      <w:pPr>
        <w:pStyle w:val="Listeafsnit"/>
        <w:jc w:val="both"/>
      </w:pPr>
    </w:p>
    <w:p w14:paraId="18A8A8FF" w14:textId="30DAA988" w:rsidR="00BB6EAD" w:rsidRDefault="00BB6EAD" w:rsidP="005E34CD">
      <w:pPr>
        <w:pStyle w:val="Listeafsnit"/>
        <w:numPr>
          <w:ilvl w:val="0"/>
          <w:numId w:val="9"/>
        </w:numPr>
        <w:jc w:val="both"/>
      </w:pPr>
      <w:r>
        <w:t xml:space="preserve">Hvordan ser formlen ud, som kan benyttes til at beregne eddikesyres </w:t>
      </w:r>
      <w:r w:rsidR="005E34CD">
        <w:t>stofmængde</w:t>
      </w:r>
      <w:r>
        <w:t xml:space="preserve">koncentration ud fra </w:t>
      </w:r>
      <w:r w:rsidR="005E34CD">
        <w:t>stofmængde</w:t>
      </w:r>
      <w:r>
        <w:t>koncentrationen af natrium</w:t>
      </w:r>
      <w:r w:rsidR="00DD5D8E">
        <w:t>(1+)</w:t>
      </w:r>
      <w:r>
        <w:t xml:space="preserve">hydroxid, samt </w:t>
      </w:r>
      <w:r w:rsidR="008D2266">
        <w:t>volumen</w:t>
      </w:r>
      <w:r>
        <w:t xml:space="preserve"> af </w:t>
      </w:r>
      <w:r w:rsidR="005E34CD">
        <w:t>henholdsvis husholdnings</w:t>
      </w:r>
      <w:r>
        <w:t>eddike og natrium</w:t>
      </w:r>
      <w:r w:rsidR="00DD5D8E">
        <w:t>(1+)</w:t>
      </w:r>
      <w:r>
        <w:t>hydroxid?</w:t>
      </w:r>
      <w:r w:rsidR="005E34CD">
        <w:t xml:space="preserve"> </w:t>
      </w:r>
      <w:r>
        <w:t xml:space="preserve">(Hjælp: </w:t>
      </w:r>
      <w:r w:rsidR="00616072">
        <w:t xml:space="preserve">Benyt svarene </w:t>
      </w:r>
      <w:r w:rsidR="005E34CD">
        <w:t>i</w:t>
      </w:r>
      <w:r w:rsidR="00616072">
        <w:t xml:space="preserve"> 5</w:t>
      </w:r>
      <w:r w:rsidR="005E34CD">
        <w:t>-7</w:t>
      </w:r>
      <w:r>
        <w:t>)</w:t>
      </w:r>
      <w:r w:rsidR="00DD5D8E">
        <w:t>.</w:t>
      </w:r>
    </w:p>
    <w:p w14:paraId="7407F1CC" w14:textId="77777777" w:rsidR="00DD5D8E" w:rsidRDefault="00DD5D8E" w:rsidP="00BB6EAD"/>
    <w:p w14:paraId="1967EB72" w14:textId="36AC1266" w:rsidR="00BB6EAD" w:rsidRDefault="00705398" w:rsidP="00DD5D8E">
      <w:pPr>
        <w:jc w:val="both"/>
      </w:pPr>
      <w:r>
        <w:t xml:space="preserve">En anden titreringsmetode er potentiometrisk titrering. Ved potentiometrisk syre-basetitrering </w:t>
      </w:r>
      <w:r w:rsidRPr="00616072">
        <w:t xml:space="preserve">måles </w:t>
      </w:r>
      <w:r>
        <w:t xml:space="preserve">pH i en opløsning </w:t>
      </w:r>
      <w:r w:rsidRPr="00616072">
        <w:t>som funktion af tilsat mængde titrator</w:t>
      </w:r>
      <w:r>
        <w:t xml:space="preserve">. Grafen, der herved fremkommer, kaldes titrerkurven. Ækvivalenspunktet og </w:t>
      </w:r>
      <m:oMath>
        <m:r>
          <m:rPr>
            <m:sty m:val="p"/>
          </m:rPr>
          <w:rPr>
            <w:rFonts w:ascii="Cambria Math" w:hAnsi="Cambria Math"/>
          </w:rPr>
          <m:t>p</m:t>
        </m:r>
        <m:sSub>
          <m:sSubPr>
            <m:ctrlPr>
              <w:rPr>
                <w:rFonts w:ascii="Cambria Math" w:hAnsi="Cambria Math"/>
                <w:i/>
              </w:rPr>
            </m:ctrlPr>
          </m:sSubPr>
          <m:e>
            <m:r>
              <w:rPr>
                <w:rFonts w:ascii="Cambria Math" w:hAnsi="Cambria Math"/>
              </w:rPr>
              <m:t>K</m:t>
            </m:r>
          </m:e>
          <m:sub>
            <m:r>
              <m:rPr>
                <m:sty m:val="p"/>
              </m:rPr>
              <w:rPr>
                <w:rFonts w:ascii="Cambria Math" w:hAnsi="Cambria Math"/>
              </w:rPr>
              <m:t>s</m:t>
            </m:r>
          </m:sub>
        </m:sSub>
      </m:oMath>
      <w:r>
        <w:t xml:space="preserve"> for den ikke-stærke syre, der undersøges, kan aflæses på titrerkurven.</w:t>
      </w:r>
    </w:p>
    <w:p w14:paraId="42C03FB8" w14:textId="77777777" w:rsidR="00705398" w:rsidRDefault="00705398" w:rsidP="00BB6EAD">
      <w:r>
        <w:rPr>
          <w:noProof/>
        </w:rPr>
        <w:drawing>
          <wp:inline distT="0" distB="0" distL="0" distR="0" wp14:anchorId="5737F7A9" wp14:editId="22B9220B">
            <wp:extent cx="6120130" cy="2350591"/>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20130" cy="2350591"/>
                    </a:xfrm>
                    <a:prstGeom prst="rect">
                      <a:avLst/>
                    </a:prstGeom>
                  </pic:spPr>
                </pic:pic>
              </a:graphicData>
            </a:graphic>
          </wp:inline>
        </w:drawing>
      </w:r>
    </w:p>
    <w:p w14:paraId="64593E5F" w14:textId="77777777" w:rsidR="00705398" w:rsidRDefault="00705398" w:rsidP="00780BF5">
      <w:pPr>
        <w:jc w:val="both"/>
      </w:pPr>
    </w:p>
    <w:p w14:paraId="4EBABC1F" w14:textId="77777777" w:rsidR="00705398" w:rsidRDefault="00BE04D9" w:rsidP="00780BF5">
      <w:pPr>
        <w:jc w:val="both"/>
      </w:pPr>
      <w:r>
        <w:t>Når ækvivalenspunktet er bestem</w:t>
      </w:r>
      <w:r w:rsidR="008D2266">
        <w:t>t</w:t>
      </w:r>
      <w:r>
        <w:t>, enten ved en kolorimetrisk titrering eller potentiometrisk titrering, kan den oprindelige koncentration af eddikesyre (syren, der undersøges) beregnes. Stofmængdekoncentrationen beregnes vedbrug af formlen i punkt 7.</w:t>
      </w:r>
    </w:p>
    <w:p w14:paraId="2A46C5D1" w14:textId="77777777" w:rsidR="00780BF5" w:rsidRDefault="00780BF5" w:rsidP="00780BF5">
      <w:pPr>
        <w:jc w:val="both"/>
      </w:pPr>
    </w:p>
    <w:p w14:paraId="6CCFC388" w14:textId="60A4B87F" w:rsidR="00BB6EAD" w:rsidRDefault="00BB6EAD" w:rsidP="00780BF5">
      <w:pPr>
        <w:jc w:val="both"/>
      </w:pPr>
      <w:r>
        <w:t xml:space="preserve">På varedeklarationen står angivet indholdet af eddikesyre i </w:t>
      </w:r>
      <w:r w:rsidR="00BE04D9">
        <w:t>masse</w:t>
      </w:r>
      <w:r>
        <w:t xml:space="preserve">procent. </w:t>
      </w:r>
      <w:r w:rsidR="00BE04D9">
        <w:t>For</w:t>
      </w:r>
      <w:r>
        <w:t xml:space="preserve"> eddikesyre i husholdningseddike er</w:t>
      </w:r>
      <w:r w:rsidR="00BE04D9">
        <w:t xml:space="preserve"> masseprocenten</w:t>
      </w:r>
      <w:r>
        <w:t xml:space="preserve"> lig med massen af eddikesyre divideret med massen af blandingen (husholdningseddike) ganget med 100.</w:t>
      </w:r>
    </w:p>
    <w:p w14:paraId="798D232D" w14:textId="77777777" w:rsidR="00BB6EAD" w:rsidRDefault="00BB6EAD" w:rsidP="00BB6EAD"/>
    <w:p w14:paraId="368B6F68" w14:textId="77777777" w:rsidR="00BB6EAD" w:rsidRDefault="00BB6EAD" w:rsidP="008D2266">
      <w:pPr>
        <w:pStyle w:val="Listeafsnit"/>
        <w:numPr>
          <w:ilvl w:val="0"/>
          <w:numId w:val="9"/>
        </w:numPr>
      </w:pPr>
      <w:r>
        <w:t>Opskriv formlen for beregning af masseprocent</w:t>
      </w:r>
      <w:r w:rsidR="00BE04D9">
        <w:t xml:space="preserve"> (hjælp: Se sætningen ovenfor)</w:t>
      </w:r>
      <w:r>
        <w:t>.</w:t>
      </w:r>
    </w:p>
    <w:p w14:paraId="1E3DBE94" w14:textId="77777777" w:rsidR="00BB6EAD" w:rsidRDefault="00BB6EAD" w:rsidP="00BB6EAD"/>
    <w:p w14:paraId="41C4E66B" w14:textId="6EF33C5F" w:rsidR="001B2051" w:rsidRDefault="00BE04D9" w:rsidP="00780BF5">
      <w:pPr>
        <w:jc w:val="both"/>
      </w:pPr>
      <w:r>
        <w:t>Man kan endvidere beregne pH til forskellige steder under titreringen. På figuren nedenfor er vist hvilke typer opløsninger, og derved hvilke metoder, som skal benyttes til pH beregninger forskellige steder på titrerkurven.</w:t>
      </w:r>
    </w:p>
    <w:p w14:paraId="586255C1" w14:textId="5F54A8BF" w:rsidR="00356A50" w:rsidRDefault="00780BF5" w:rsidP="00CA7F9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noProof/>
        </w:rPr>
        <w:drawing>
          <wp:inline distT="0" distB="0" distL="0" distR="0" wp14:anchorId="17EED6B1" wp14:editId="27398DD2">
            <wp:extent cx="4427858" cy="2080640"/>
            <wp:effectExtent l="0" t="0" r="444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4058"/>
                    <a:stretch/>
                  </pic:blipFill>
                  <pic:spPr bwMode="auto">
                    <a:xfrm>
                      <a:off x="0" y="0"/>
                      <a:ext cx="4429024" cy="2081188"/>
                    </a:xfrm>
                    <a:prstGeom prst="rect">
                      <a:avLst/>
                    </a:prstGeom>
                    <a:ln>
                      <a:noFill/>
                    </a:ln>
                    <a:extLst>
                      <a:ext uri="{53640926-AAD7-44D8-BBD7-CCE9431645EC}">
                        <a14:shadowObscured xmlns:a14="http://schemas.microsoft.com/office/drawing/2010/main"/>
                      </a:ext>
                    </a:extLst>
                  </pic:spPr>
                </pic:pic>
              </a:graphicData>
            </a:graphic>
          </wp:inline>
        </w:drawing>
      </w:r>
    </w:p>
    <w:p w14:paraId="4F80BD94" w14:textId="77777777" w:rsidR="00356A50" w:rsidRDefault="00356A50" w:rsidP="00356A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lastRenderedPageBreak/>
        <w:t>Apparatur</w:t>
      </w:r>
    </w:p>
    <w:p w14:paraId="18F5C942" w14:textId="440D3DCC" w:rsidR="00356A50" w:rsidRDefault="00356A50" w:rsidP="00542F79">
      <w:pPr>
        <w:jc w:val="both"/>
      </w:pPr>
      <w:r>
        <w:t xml:space="preserve">1-5 mL finpipette, </w:t>
      </w:r>
      <w:r w:rsidR="00496CF6">
        <w:t xml:space="preserve">100 mL </w:t>
      </w:r>
      <w:r>
        <w:t>konisk kolbe</w:t>
      </w:r>
      <w:r w:rsidR="00496CF6">
        <w:t>, 100 mL</w:t>
      </w:r>
      <w:r>
        <w:t xml:space="preserve"> bægerglas</w:t>
      </w:r>
      <w:r w:rsidR="00496CF6">
        <w:t xml:space="preserve">, </w:t>
      </w:r>
      <w:r w:rsidR="002E1C83">
        <w:t xml:space="preserve">25 mL måleglas, </w:t>
      </w:r>
      <w:r>
        <w:t xml:space="preserve">magnetomrører, magnet, </w:t>
      </w:r>
      <w:r w:rsidR="0076492C">
        <w:t xml:space="preserve">25 mL </w:t>
      </w:r>
      <w:r>
        <w:t>burette, pH-elektrode</w:t>
      </w:r>
      <w:r w:rsidR="0076492C">
        <w:t xml:space="preserve"> og</w:t>
      </w:r>
      <w:r w:rsidR="004D68AB">
        <w:t xml:space="preserve"> </w:t>
      </w:r>
      <w:r w:rsidR="003D22BC">
        <w:t xml:space="preserve">computer med </w:t>
      </w:r>
      <w:proofErr w:type="spellStart"/>
      <w:r w:rsidR="003D22BC">
        <w:t>LoggerPro</w:t>
      </w:r>
      <w:proofErr w:type="spellEnd"/>
      <w:r w:rsidR="003D22BC">
        <w:t>.</w:t>
      </w:r>
    </w:p>
    <w:p w14:paraId="2836B16F" w14:textId="77777777" w:rsidR="00356A50" w:rsidRDefault="00356A50"/>
    <w:p w14:paraId="5541BB9A" w14:textId="77777777" w:rsidR="00356A50" w:rsidRDefault="00356A50" w:rsidP="00356A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Kemikalier</w:t>
      </w:r>
    </w:p>
    <w:p w14:paraId="55C6D956" w14:textId="35D2F95D" w:rsidR="00356A50" w:rsidRDefault="00E640AB" w:rsidP="00542F7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t>Husholdningseddike, 0,10</w:t>
      </w:r>
      <w:r w:rsidR="004D68AB">
        <w:t>0</w:t>
      </w:r>
      <w:r w:rsidR="00356A50">
        <w:t xml:space="preserve"> </w:t>
      </w:r>
      <w:r>
        <w:rPr>
          <w:smallCaps/>
        </w:rPr>
        <w:t>m</w:t>
      </w:r>
      <w:r w:rsidR="00356A50">
        <w:t xml:space="preserve"> NaOH</w:t>
      </w:r>
      <w:r w:rsidR="00217958">
        <w:t>(</w:t>
      </w:r>
      <w:proofErr w:type="spellStart"/>
      <w:r w:rsidR="00217958">
        <w:t>aq</w:t>
      </w:r>
      <w:proofErr w:type="spellEnd"/>
      <w:r w:rsidR="00217958">
        <w:t xml:space="preserve">), </w:t>
      </w:r>
      <w:proofErr w:type="spellStart"/>
      <w:r w:rsidR="00356A50">
        <w:t>phenolphthalein</w:t>
      </w:r>
      <w:proofErr w:type="spellEnd"/>
      <w:r w:rsidR="00356A50">
        <w:t>, pufferopløsninger til indstilling af pH-meter</w:t>
      </w:r>
      <w:r w:rsidR="004D68AB">
        <w:t xml:space="preserve"> (pH 4,0</w:t>
      </w:r>
      <w:r w:rsidR="00542F79">
        <w:t>0</w:t>
      </w:r>
      <w:r w:rsidR="004D68AB">
        <w:t xml:space="preserve"> og pH 7,00)</w:t>
      </w:r>
    </w:p>
    <w:p w14:paraId="488CA2A4" w14:textId="77777777" w:rsidR="00356A50" w:rsidRDefault="00356A50" w:rsidP="00356A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564844B8" w14:textId="77777777" w:rsidR="00EF2FD4" w:rsidRDefault="00EF2FD4" w:rsidP="00EF2FD4">
      <w:pPr>
        <w:tabs>
          <w:tab w:val="center" w:pos="3855"/>
          <w:tab w:val="left" w:pos="7257"/>
        </w:tabs>
        <w:ind w:right="148"/>
      </w:pPr>
      <w:r>
        <w:rPr>
          <w:rFonts w:ascii="Arial" w:hAnsi="Arial" w:cs="Arial"/>
          <w:b/>
          <w:bCs/>
        </w:rPr>
        <w:t>Affald</w:t>
      </w:r>
    </w:p>
    <w:p w14:paraId="2D812A33" w14:textId="77777777" w:rsidR="00EF2FD4" w:rsidRDefault="00EF2FD4" w:rsidP="00555169">
      <w:pPr>
        <w:pStyle w:val="Brdtekst"/>
        <w:jc w:val="both"/>
      </w:pPr>
      <w:r>
        <w:t>Alt affald må hældes i vasken.</w:t>
      </w:r>
    </w:p>
    <w:p w14:paraId="4F3CBAD2" w14:textId="77777777" w:rsidR="00EF2FD4" w:rsidRDefault="00EF2FD4" w:rsidP="00356A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67D7F163" w14:textId="77777777" w:rsidR="001A030F" w:rsidRDefault="001A030F" w:rsidP="001A030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Eksperimentelt</w:t>
      </w:r>
    </w:p>
    <w:p w14:paraId="625460C5" w14:textId="76A68F28" w:rsidR="004D68AB" w:rsidRDefault="004D68AB" w:rsidP="004B3BD0">
      <w:pPr>
        <w:jc w:val="both"/>
      </w:pPr>
      <w:r>
        <w:t xml:space="preserve">Først gennemføres en kolorimetrisk titrering af husholdningseddike og derefter en potentiometrisk titrering. </w:t>
      </w:r>
    </w:p>
    <w:p w14:paraId="6ECEF135" w14:textId="77777777" w:rsidR="00555169" w:rsidRDefault="00555169" w:rsidP="001A030F"/>
    <w:p w14:paraId="5A113E6E" w14:textId="77777777" w:rsidR="00AE0B95" w:rsidRPr="004B3BD0" w:rsidRDefault="00AE0B95" w:rsidP="001A030F">
      <w:pPr>
        <w:rPr>
          <w:rFonts w:cstheme="minorHAnsi"/>
          <w:bCs/>
          <w:u w:val="single"/>
        </w:rPr>
      </w:pPr>
      <w:r w:rsidRPr="004B3BD0">
        <w:rPr>
          <w:rFonts w:cstheme="minorHAnsi"/>
          <w:bCs/>
          <w:u w:val="single"/>
        </w:rPr>
        <w:t>Kolorimetrisk titrering</w:t>
      </w:r>
    </w:p>
    <w:p w14:paraId="6294EC22" w14:textId="017A4D20" w:rsidR="00AE0B95" w:rsidRDefault="00AE0B95" w:rsidP="004B3BD0">
      <w:pPr>
        <w:numPr>
          <w:ilvl w:val="0"/>
          <w:numId w:val="1"/>
        </w:numPr>
        <w:jc w:val="both"/>
      </w:pPr>
      <w:r>
        <w:t xml:space="preserve">Med </w:t>
      </w:r>
      <w:r w:rsidR="00E427D0">
        <w:t>fin</w:t>
      </w:r>
      <w:r>
        <w:t xml:space="preserve">pipette afmåles 2,00 mL husholdningseddike, som overføres til en </w:t>
      </w:r>
      <w:r w:rsidR="0076492C">
        <w:t xml:space="preserve">100 mL </w:t>
      </w:r>
      <w:r>
        <w:t xml:space="preserve">konisk kolbe. Der tilsættes 20 mL </w:t>
      </w:r>
      <w:r w:rsidR="00E427D0">
        <w:t>demineraliseret</w:t>
      </w:r>
      <w:r>
        <w:t xml:space="preserve"> vand </w:t>
      </w:r>
      <w:r w:rsidR="002E1C83">
        <w:t xml:space="preserve">med måleglas </w:t>
      </w:r>
      <w:r>
        <w:t xml:space="preserve">og 3-4 dråber </w:t>
      </w:r>
      <w:proofErr w:type="spellStart"/>
      <w:r>
        <w:t>phenolphthalein</w:t>
      </w:r>
      <w:proofErr w:type="spellEnd"/>
      <w:r>
        <w:t xml:space="preserve"> (denne blanding kaldes titranden). Man kan eventuelt benytte en magnet og en magnetomrører.</w:t>
      </w:r>
    </w:p>
    <w:p w14:paraId="0633BCF5" w14:textId="3160AAC5" w:rsidR="00AE0B95" w:rsidRDefault="00AE0B95" w:rsidP="004B3BD0">
      <w:pPr>
        <w:numPr>
          <w:ilvl w:val="0"/>
          <w:numId w:val="1"/>
        </w:numPr>
        <w:jc w:val="both"/>
      </w:pPr>
      <w:r>
        <w:t>En burette fyldes med natrium</w:t>
      </w:r>
      <w:r w:rsidR="004B3BD0">
        <w:t>(1+)</w:t>
      </w:r>
      <w:r>
        <w:t>hydroxid (</w:t>
      </w:r>
      <w:proofErr w:type="spellStart"/>
      <w:r>
        <w:t>titrator</w:t>
      </w:r>
      <w:proofErr w:type="spellEnd"/>
      <w:r>
        <w:t xml:space="preserve">). </w:t>
      </w:r>
      <w:r>
        <w:rPr>
          <w:b/>
          <w:bCs/>
        </w:rPr>
        <w:t>HUSK</w:t>
      </w:r>
      <w:r>
        <w:t xml:space="preserve"> at fjerne luftbobler og nulstille buretten. </w:t>
      </w:r>
    </w:p>
    <w:p w14:paraId="09E4A600" w14:textId="77777777" w:rsidR="004D68AB" w:rsidRDefault="00AE0B95" w:rsidP="004B3BD0">
      <w:pPr>
        <w:numPr>
          <w:ilvl w:val="0"/>
          <w:numId w:val="1"/>
        </w:numPr>
        <w:jc w:val="both"/>
      </w:pPr>
      <w:r>
        <w:t>Titratoren dryppes under omrøring – ikke for kraftig - ned i den koniske kolbe, indtil en enkelt dråbe farver titranden svagt rød. Farven må ikke forsvinde igen. Buretten aflæses og forsøget gentages. De to forsøgsresultater må ikke afvige med mere end 0,5 mL fra hinanden.</w:t>
      </w:r>
    </w:p>
    <w:p w14:paraId="23C0FACF" w14:textId="77777777" w:rsidR="00E640AB" w:rsidRDefault="00E640AB" w:rsidP="00E640AB">
      <w:pPr>
        <w:ind w:left="720"/>
      </w:pPr>
    </w:p>
    <w:p w14:paraId="3D62A281" w14:textId="77777777" w:rsidR="00AE0B95" w:rsidRPr="004B3BD0" w:rsidRDefault="00AE0B95" w:rsidP="00AE0B95">
      <w:pPr>
        <w:rPr>
          <w:bCs/>
          <w:u w:val="single"/>
        </w:rPr>
      </w:pPr>
      <w:r w:rsidRPr="004B3BD0">
        <w:rPr>
          <w:bCs/>
          <w:u w:val="single"/>
        </w:rPr>
        <w:t>Potentiometrisk titrering</w:t>
      </w:r>
    </w:p>
    <w:p w14:paraId="6E05DD22" w14:textId="613070C5" w:rsidR="00E60FA1" w:rsidRDefault="00AE0B95" w:rsidP="004B3BD0">
      <w:pPr>
        <w:numPr>
          <w:ilvl w:val="0"/>
          <w:numId w:val="2"/>
        </w:numPr>
        <w:jc w:val="both"/>
      </w:pPr>
      <w:r>
        <w:t>pH-elektrode</w:t>
      </w:r>
      <w:r w:rsidR="00E60FA1">
        <w:t xml:space="preserve"> kobles til computer med </w:t>
      </w:r>
      <w:proofErr w:type="spellStart"/>
      <w:r w:rsidR="00E60FA1">
        <w:t>LoggerPro</w:t>
      </w:r>
      <w:proofErr w:type="spellEnd"/>
      <w:r w:rsidR="00E60FA1">
        <w:t xml:space="preserve"> og titreringsskabelonen </w:t>
      </w:r>
      <w:r w:rsidR="00520AD0">
        <w:t>(</w:t>
      </w:r>
      <w:r w:rsidR="00520AD0" w:rsidRPr="00520AD0">
        <w:rPr>
          <w:i/>
          <w:iCs/>
        </w:rPr>
        <w:t xml:space="preserve">Potentiometrisk  </w:t>
      </w:r>
      <w:proofErr w:type="spellStart"/>
      <w:r w:rsidR="00520AD0" w:rsidRPr="00520AD0">
        <w:rPr>
          <w:i/>
          <w:iCs/>
        </w:rPr>
        <w:t>titrering.cmbl</w:t>
      </w:r>
      <w:proofErr w:type="spellEnd"/>
      <w:r w:rsidR="00520AD0">
        <w:t xml:space="preserve">) </w:t>
      </w:r>
      <w:r w:rsidR="00E60FA1">
        <w:t>downloades fra Lectio og åbnes ved at dobbeltklikke på filen (</w:t>
      </w:r>
      <w:r w:rsidR="00E60FA1" w:rsidRPr="00E60FA1">
        <w:rPr>
          <w:b/>
          <w:bCs/>
        </w:rPr>
        <w:t xml:space="preserve">vigtigt ikke at åbne </w:t>
      </w:r>
      <w:proofErr w:type="spellStart"/>
      <w:r w:rsidR="00E60FA1" w:rsidRPr="00E60FA1">
        <w:rPr>
          <w:b/>
          <w:bCs/>
        </w:rPr>
        <w:t>LoggerPro</w:t>
      </w:r>
      <w:proofErr w:type="spellEnd"/>
      <w:r w:rsidR="00E60FA1" w:rsidRPr="00E60FA1">
        <w:rPr>
          <w:b/>
          <w:bCs/>
        </w:rPr>
        <w:t xml:space="preserve"> uden skabelonen</w:t>
      </w:r>
      <w:r w:rsidR="00E60FA1">
        <w:t>).</w:t>
      </w:r>
    </w:p>
    <w:p w14:paraId="0C00F766" w14:textId="64196B86" w:rsidR="00AE0B95" w:rsidRPr="00EF532E" w:rsidRDefault="00AE0B95" w:rsidP="004B3BD0">
      <w:pPr>
        <w:numPr>
          <w:ilvl w:val="0"/>
          <w:numId w:val="2"/>
        </w:numPr>
        <w:jc w:val="both"/>
      </w:pPr>
      <w:r>
        <w:t>pH-elektroden indstilles med pufferopløsninger</w:t>
      </w:r>
      <w:r w:rsidR="000373C0">
        <w:t xml:space="preserve"> med pH 4,00 og 7,00</w:t>
      </w:r>
      <w:r w:rsidR="00136C26">
        <w:t>.</w:t>
      </w:r>
      <w:r w:rsidR="003B540F">
        <w:t xml:space="preserve"> Dette gøres under </w:t>
      </w:r>
      <w:r w:rsidR="003B540F">
        <w:rPr>
          <w:i/>
          <w:iCs/>
        </w:rPr>
        <w:t>Experiment/</w:t>
      </w:r>
      <w:proofErr w:type="spellStart"/>
      <w:r w:rsidR="003B540F">
        <w:rPr>
          <w:i/>
          <w:iCs/>
        </w:rPr>
        <w:t>Calibrate</w:t>
      </w:r>
      <w:proofErr w:type="spellEnd"/>
      <w:r w:rsidR="003B540F">
        <w:rPr>
          <w:i/>
          <w:iCs/>
        </w:rPr>
        <w:t>/</w:t>
      </w:r>
      <w:proofErr w:type="spellStart"/>
      <w:r w:rsidR="003B540F">
        <w:rPr>
          <w:i/>
          <w:iCs/>
        </w:rPr>
        <w:t>LabQuest</w:t>
      </w:r>
      <w:proofErr w:type="spellEnd"/>
      <w:r w:rsidR="003B540F">
        <w:rPr>
          <w:i/>
          <w:iCs/>
        </w:rPr>
        <w:t xml:space="preserve"> Mini:</w:t>
      </w:r>
    </w:p>
    <w:p w14:paraId="4F97F78F" w14:textId="3D0E6D5F" w:rsidR="00EF532E" w:rsidRDefault="00EF532E" w:rsidP="00EF532E">
      <w:pPr>
        <w:numPr>
          <w:ilvl w:val="1"/>
          <w:numId w:val="2"/>
        </w:numPr>
        <w:jc w:val="both"/>
      </w:pPr>
      <w:r>
        <w:t>pH-elektroden trækkes op af flasken hvor den opbevares og skylles grundigt med demineraliseret vand hvorefter den placeres i pufferopløsningen med pH 4,00.</w:t>
      </w:r>
    </w:p>
    <w:p w14:paraId="3E3EEF3D" w14:textId="54D8FD91" w:rsidR="00EF532E" w:rsidRDefault="00EF532E" w:rsidP="00EF532E">
      <w:pPr>
        <w:numPr>
          <w:ilvl w:val="1"/>
          <w:numId w:val="2"/>
        </w:numPr>
        <w:jc w:val="both"/>
      </w:pPr>
      <w:r w:rsidRPr="00EF532E">
        <w:t xml:space="preserve">Vælg </w:t>
      </w:r>
      <w:proofErr w:type="spellStart"/>
      <w:r w:rsidRPr="00EF532E">
        <w:rPr>
          <w:i/>
          <w:iCs/>
        </w:rPr>
        <w:t>Calibrate</w:t>
      </w:r>
      <w:proofErr w:type="spellEnd"/>
      <w:r w:rsidRPr="00EF532E">
        <w:rPr>
          <w:i/>
          <w:iCs/>
        </w:rPr>
        <w:t xml:space="preserve"> </w:t>
      </w:r>
      <w:proofErr w:type="spellStart"/>
      <w:r w:rsidRPr="00EF532E">
        <w:rPr>
          <w:i/>
          <w:iCs/>
        </w:rPr>
        <w:t>now</w:t>
      </w:r>
      <w:proofErr w:type="spellEnd"/>
      <w:r>
        <w:t xml:space="preserve">. Når spændingen ikke ændrer sig mere, indtastes pH værdien 4,00 under </w:t>
      </w:r>
      <w:r w:rsidRPr="00EF532E">
        <w:rPr>
          <w:i/>
          <w:iCs/>
        </w:rPr>
        <w:t>Re</w:t>
      </w:r>
      <w:r>
        <w:rPr>
          <w:i/>
          <w:iCs/>
        </w:rPr>
        <w:t>a</w:t>
      </w:r>
      <w:r w:rsidRPr="00EF532E">
        <w:rPr>
          <w:i/>
          <w:iCs/>
        </w:rPr>
        <w:t>ding 1</w:t>
      </w:r>
      <w:r>
        <w:t xml:space="preserve"> og der trykkes </w:t>
      </w:r>
      <w:proofErr w:type="spellStart"/>
      <w:r w:rsidRPr="00EF532E">
        <w:rPr>
          <w:i/>
          <w:iCs/>
        </w:rPr>
        <w:t>keep</w:t>
      </w:r>
      <w:proofErr w:type="spellEnd"/>
      <w:r>
        <w:t>.</w:t>
      </w:r>
    </w:p>
    <w:p w14:paraId="7B73B85B" w14:textId="366D2425" w:rsidR="00EF532E" w:rsidRDefault="00EF532E" w:rsidP="00EF532E">
      <w:pPr>
        <w:numPr>
          <w:ilvl w:val="1"/>
          <w:numId w:val="2"/>
        </w:numPr>
        <w:jc w:val="both"/>
      </w:pPr>
      <w:r>
        <w:t>pH elektroden tages op af pufferopløsningen, skylles grundigt med demineraliseret vand og placeres i pufferopløsningen med pH 7,00.</w:t>
      </w:r>
    </w:p>
    <w:p w14:paraId="14106953" w14:textId="74805AB7" w:rsidR="00EF532E" w:rsidRDefault="00EF532E" w:rsidP="00EF532E">
      <w:pPr>
        <w:numPr>
          <w:ilvl w:val="1"/>
          <w:numId w:val="2"/>
        </w:numPr>
        <w:jc w:val="both"/>
      </w:pPr>
      <w:r>
        <w:t xml:space="preserve">Når spændingen ikke ændrer sig mere, indtastes pH værdien 7,00 under </w:t>
      </w:r>
      <w:r w:rsidRPr="00EF532E">
        <w:rPr>
          <w:i/>
          <w:iCs/>
        </w:rPr>
        <w:t>Re</w:t>
      </w:r>
      <w:r>
        <w:rPr>
          <w:i/>
          <w:iCs/>
        </w:rPr>
        <w:t>a</w:t>
      </w:r>
      <w:r w:rsidRPr="00EF532E">
        <w:rPr>
          <w:i/>
          <w:iCs/>
        </w:rPr>
        <w:t xml:space="preserve">ding </w:t>
      </w:r>
      <w:r>
        <w:rPr>
          <w:i/>
          <w:iCs/>
        </w:rPr>
        <w:t>2</w:t>
      </w:r>
      <w:r>
        <w:t xml:space="preserve"> og der trykkes </w:t>
      </w:r>
      <w:proofErr w:type="spellStart"/>
      <w:r w:rsidRPr="00EF532E">
        <w:rPr>
          <w:i/>
          <w:iCs/>
        </w:rPr>
        <w:t>keep</w:t>
      </w:r>
      <w:proofErr w:type="spellEnd"/>
      <w:r>
        <w:t>.</w:t>
      </w:r>
    </w:p>
    <w:p w14:paraId="7B25073A" w14:textId="118BD94B" w:rsidR="00EF532E" w:rsidRPr="00EF532E" w:rsidRDefault="00EF532E" w:rsidP="00EF532E">
      <w:pPr>
        <w:numPr>
          <w:ilvl w:val="1"/>
          <w:numId w:val="2"/>
        </w:numPr>
        <w:jc w:val="both"/>
      </w:pPr>
      <w:r>
        <w:t xml:space="preserve">Tryk OK og </w:t>
      </w:r>
      <w:proofErr w:type="spellStart"/>
      <w:r>
        <w:t>calibreringen</w:t>
      </w:r>
      <w:proofErr w:type="spellEnd"/>
      <w:r>
        <w:t xml:space="preserve"> er gemt.</w:t>
      </w:r>
    </w:p>
    <w:p w14:paraId="1C1FB0F0" w14:textId="29B05678" w:rsidR="00E427D0" w:rsidRDefault="00AE0B95" w:rsidP="004B3BD0">
      <w:pPr>
        <w:numPr>
          <w:ilvl w:val="0"/>
          <w:numId w:val="2"/>
        </w:numPr>
        <w:jc w:val="both"/>
      </w:pPr>
      <w:r>
        <w:t>En burette fylde</w:t>
      </w:r>
      <w:r w:rsidR="00BE04D9">
        <w:t>s med natrium</w:t>
      </w:r>
      <w:r w:rsidR="004B3BD0">
        <w:t>(1+)</w:t>
      </w:r>
      <w:r w:rsidR="00BE04D9">
        <w:t>hydroxid</w:t>
      </w:r>
      <w:r>
        <w:t xml:space="preserve">. </w:t>
      </w:r>
      <w:r>
        <w:rPr>
          <w:b/>
          <w:bCs/>
        </w:rPr>
        <w:t>HUSK</w:t>
      </w:r>
      <w:r>
        <w:t xml:space="preserve"> at fjerne luftbobler og nulstille buretten. </w:t>
      </w:r>
    </w:p>
    <w:p w14:paraId="7A6E7D21" w14:textId="0D700657" w:rsidR="00054E87" w:rsidRDefault="00AE0B95" w:rsidP="004B3BD0">
      <w:pPr>
        <w:numPr>
          <w:ilvl w:val="0"/>
          <w:numId w:val="2"/>
        </w:numPr>
        <w:jc w:val="both"/>
      </w:pPr>
      <w:r>
        <w:t xml:space="preserve">Med </w:t>
      </w:r>
      <w:r w:rsidR="00E427D0">
        <w:t>fin</w:t>
      </w:r>
      <w:r>
        <w:t>pipette afmåles 2,00 mL husholdningseddike, som overføres til e</w:t>
      </w:r>
      <w:r w:rsidR="00E427D0">
        <w:t>t</w:t>
      </w:r>
      <w:r>
        <w:t xml:space="preserve"> </w:t>
      </w:r>
      <w:r w:rsidR="00054E87">
        <w:t xml:space="preserve">100 mL </w:t>
      </w:r>
      <w:r w:rsidR="00E427D0">
        <w:t>bægerglas. Der tilsættes 20 mL demineraliseret vand</w:t>
      </w:r>
      <w:r w:rsidR="002E1C83">
        <w:t xml:space="preserve"> med måleglas</w:t>
      </w:r>
      <w:r w:rsidR="00E427D0">
        <w:t>.</w:t>
      </w:r>
    </w:p>
    <w:p w14:paraId="06D3B976" w14:textId="317541EA" w:rsidR="00E427D0" w:rsidRDefault="00054E87" w:rsidP="004B3BD0">
      <w:pPr>
        <w:numPr>
          <w:ilvl w:val="0"/>
          <w:numId w:val="2"/>
        </w:numPr>
        <w:jc w:val="both"/>
      </w:pPr>
      <w:r>
        <w:t xml:space="preserve">Placer </w:t>
      </w:r>
      <w:r w:rsidR="00E427D0">
        <w:t xml:space="preserve">en magnet </w:t>
      </w:r>
      <w:r>
        <w:t>i bægerglasset og sæt bægerglasset på en</w:t>
      </w:r>
      <w:r w:rsidR="00E427D0">
        <w:t xml:space="preserve"> magnetomrører</w:t>
      </w:r>
      <w:r>
        <w:t>.</w:t>
      </w:r>
    </w:p>
    <w:p w14:paraId="037EA848" w14:textId="73BC8720" w:rsidR="0019329A" w:rsidRPr="004F307B" w:rsidRDefault="00C16A30" w:rsidP="004B3BD0">
      <w:pPr>
        <w:numPr>
          <w:ilvl w:val="0"/>
          <w:numId w:val="2"/>
        </w:numPr>
        <w:jc w:val="both"/>
      </w:pPr>
      <w:r>
        <w:t xml:space="preserve">pH-elektroden </w:t>
      </w:r>
      <w:r w:rsidR="00475693">
        <w:t xml:space="preserve">skylles grundigt med demineraliseret vand og </w:t>
      </w:r>
      <w:r>
        <w:t>sænkes ned i opløsningen</w:t>
      </w:r>
      <w:r w:rsidR="00520AD0">
        <w:t xml:space="preserve"> og fastgøres i et stativ med en stativklemme</w:t>
      </w:r>
      <w:r>
        <w:t xml:space="preserve">. </w:t>
      </w:r>
      <w:r w:rsidR="00475693">
        <w:t xml:space="preserve">Elektrodens yderste spids skal være under væskeoverfladen. </w:t>
      </w:r>
      <w:r w:rsidRPr="001B1B89">
        <w:rPr>
          <w:b/>
          <w:bCs/>
        </w:rPr>
        <w:t>PAS PÅ at magnetpind</w:t>
      </w:r>
      <w:r w:rsidR="00475693" w:rsidRPr="001B1B89">
        <w:rPr>
          <w:b/>
          <w:bCs/>
        </w:rPr>
        <w:t>en</w:t>
      </w:r>
      <w:r w:rsidRPr="001B1B89">
        <w:rPr>
          <w:b/>
          <w:bCs/>
        </w:rPr>
        <w:t xml:space="preserve"> ikke rammer pH-elektroden.</w:t>
      </w:r>
    </w:p>
    <w:p w14:paraId="2298BE67" w14:textId="068AA792" w:rsidR="004F307B" w:rsidRDefault="004F307B" w:rsidP="004F307B">
      <w:pPr>
        <w:numPr>
          <w:ilvl w:val="0"/>
          <w:numId w:val="2"/>
        </w:numPr>
        <w:jc w:val="both"/>
      </w:pPr>
      <w:r>
        <w:t xml:space="preserve">Sæt computer til oplader under titreringen og sørg for at skærmen ikke går i sort, da det kan lukke </w:t>
      </w:r>
      <w:proofErr w:type="spellStart"/>
      <w:r>
        <w:t>LoggerPro</w:t>
      </w:r>
      <w:proofErr w:type="spellEnd"/>
      <w:r>
        <w:t xml:space="preserve"> ned og slette kalibreringen, hvilket betyder at man skal starte forfra).</w:t>
      </w:r>
    </w:p>
    <w:p w14:paraId="12DE9212" w14:textId="104B4ECE" w:rsidR="00346B9B" w:rsidRDefault="00346B9B" w:rsidP="004B3BD0">
      <w:pPr>
        <w:numPr>
          <w:ilvl w:val="0"/>
          <w:numId w:val="2"/>
        </w:numPr>
        <w:jc w:val="both"/>
      </w:pPr>
      <w:r>
        <w:t xml:space="preserve">Målingerne startes ved at trykke på startknappen </w:t>
      </w:r>
      <w:r>
        <w:rPr>
          <w:noProof/>
        </w:rPr>
        <w:drawing>
          <wp:inline distT="0" distB="0" distL="0" distR="0" wp14:anchorId="22B00770" wp14:editId="70FF9E2D">
            <wp:extent cx="223720" cy="102538"/>
            <wp:effectExtent l="0" t="0" r="508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4">
                      <a:extLst>
                        <a:ext uri="{28A0092B-C50C-407E-A947-70E740481C1C}">
                          <a14:useLocalDpi xmlns:a14="http://schemas.microsoft.com/office/drawing/2010/main" val="0"/>
                        </a:ext>
                      </a:extLst>
                    </a:blip>
                    <a:stretch>
                      <a:fillRect/>
                    </a:stretch>
                  </pic:blipFill>
                  <pic:spPr>
                    <a:xfrm>
                      <a:off x="0" y="0"/>
                      <a:ext cx="237125" cy="108682"/>
                    </a:xfrm>
                    <a:prstGeom prst="rect">
                      <a:avLst/>
                    </a:prstGeom>
                  </pic:spPr>
                </pic:pic>
              </a:graphicData>
            </a:graphic>
          </wp:inline>
        </w:drawing>
      </w:r>
      <w:r>
        <w:t xml:space="preserve">. </w:t>
      </w:r>
      <w:r w:rsidRPr="00346B9B">
        <w:rPr>
          <w:b/>
          <w:bCs/>
        </w:rPr>
        <w:t>Herefter må denne knap ikke røres før alle målinger er foretaget</w:t>
      </w:r>
      <w:r>
        <w:t xml:space="preserve"> (skifter udseende til </w:t>
      </w:r>
      <w:r>
        <w:rPr>
          <w:noProof/>
        </w:rPr>
        <w:drawing>
          <wp:inline distT="0" distB="0" distL="0" distR="0" wp14:anchorId="1E423504" wp14:editId="6CF8921F">
            <wp:extent cx="207204" cy="94184"/>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5">
                      <a:extLst>
                        <a:ext uri="{28A0092B-C50C-407E-A947-70E740481C1C}">
                          <a14:useLocalDpi xmlns:a14="http://schemas.microsoft.com/office/drawing/2010/main" val="0"/>
                        </a:ext>
                      </a:extLst>
                    </a:blip>
                    <a:stretch>
                      <a:fillRect/>
                    </a:stretch>
                  </pic:blipFill>
                  <pic:spPr>
                    <a:xfrm>
                      <a:off x="0" y="0"/>
                      <a:ext cx="217220" cy="98737"/>
                    </a:xfrm>
                    <a:prstGeom prst="rect">
                      <a:avLst/>
                    </a:prstGeom>
                  </pic:spPr>
                </pic:pic>
              </a:graphicData>
            </a:graphic>
          </wp:inline>
        </w:drawing>
      </w:r>
      <w:r>
        <w:t>)!</w:t>
      </w:r>
    </w:p>
    <w:p w14:paraId="14114042" w14:textId="0B0BB45A" w:rsidR="00836E67" w:rsidRPr="004F307B" w:rsidRDefault="004F307B" w:rsidP="004F307B">
      <w:pPr>
        <w:numPr>
          <w:ilvl w:val="0"/>
          <w:numId w:val="2"/>
        </w:numPr>
        <w:jc w:val="both"/>
      </w:pPr>
      <w:r>
        <w:t xml:space="preserve">Målingerne gemmes ved at trykke på knappen </w:t>
      </w:r>
      <w:r w:rsidRPr="004F307B">
        <w:rPr>
          <w:i/>
          <w:iCs/>
        </w:rPr>
        <w:t>Keep</w:t>
      </w:r>
      <w:r>
        <w:rPr>
          <w:noProof/>
        </w:rPr>
        <w:drawing>
          <wp:inline distT="0" distB="0" distL="0" distR="0" wp14:anchorId="1AC99F73" wp14:editId="2512E63E">
            <wp:extent cx="132755" cy="151720"/>
            <wp:effectExtent l="0" t="0" r="0" b="127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16">
                      <a:extLst>
                        <a:ext uri="{28A0092B-C50C-407E-A947-70E740481C1C}">
                          <a14:useLocalDpi xmlns:a14="http://schemas.microsoft.com/office/drawing/2010/main" val="0"/>
                        </a:ext>
                      </a:extLst>
                    </a:blip>
                    <a:stretch>
                      <a:fillRect/>
                    </a:stretch>
                  </pic:blipFill>
                  <pic:spPr>
                    <a:xfrm>
                      <a:off x="0" y="0"/>
                      <a:ext cx="143209" cy="163667"/>
                    </a:xfrm>
                    <a:prstGeom prst="ellipse">
                      <a:avLst/>
                    </a:prstGeom>
                  </pic:spPr>
                </pic:pic>
              </a:graphicData>
            </a:graphic>
          </wp:inline>
        </w:drawing>
      </w:r>
      <w:r>
        <w:t xml:space="preserve">, hvorefter man selv indtaster det totale tilsatte </w:t>
      </w:r>
      <w:r>
        <w:lastRenderedPageBreak/>
        <w:t xml:space="preserve">volumen NaOH i </w:t>
      </w:r>
      <w:proofErr w:type="spellStart"/>
      <w:r>
        <w:t>mL.</w:t>
      </w:r>
      <w:proofErr w:type="spellEnd"/>
      <w:r>
        <w:t xml:space="preserve"> </w:t>
      </w:r>
      <w:r w:rsidR="00836E67" w:rsidRPr="004F307B">
        <w:rPr>
          <w:b/>
          <w:bCs/>
        </w:rPr>
        <w:t>Husk første måling er inden der tilsættes noget natrium(1+)hydroxid - dvs. pH til 0,0 mL NaOH tilsat!</w:t>
      </w:r>
    </w:p>
    <w:p w14:paraId="18296026" w14:textId="31CD70EE" w:rsidR="00B142E8" w:rsidRDefault="00B91693" w:rsidP="00C7725F">
      <w:pPr>
        <w:numPr>
          <w:ilvl w:val="0"/>
          <w:numId w:val="2"/>
        </w:numPr>
        <w:jc w:val="both"/>
      </w:pPr>
      <w:r w:rsidRPr="0019350B">
        <w:rPr>
          <w:u w:val="single"/>
        </w:rPr>
        <w:t>LÆS GRUNDIGT HELE PUNKTET FØR I BEGYNDER</w:t>
      </w:r>
      <w:r>
        <w:t xml:space="preserve">: </w:t>
      </w:r>
      <w:r w:rsidR="00C16A30">
        <w:t xml:space="preserve">Der tilsættes nu 1,0 mL NaOH. Vent ca. 10 s til pH-elektrode har </w:t>
      </w:r>
      <w:r w:rsidR="00E32528">
        <w:t>en stabil måling</w:t>
      </w:r>
      <w:r w:rsidR="00251269">
        <w:t xml:space="preserve"> og gem målingen</w:t>
      </w:r>
      <w:r w:rsidR="00AA6F59">
        <w:t>, hvorefte</w:t>
      </w:r>
      <w:r>
        <w:t>r</w:t>
      </w:r>
      <w:r w:rsidR="00EF2FD4">
        <w:t xml:space="preserve"> tilsætningen af NaOH</w:t>
      </w:r>
      <w:r>
        <w:t xml:space="preserve"> fortsættes</w:t>
      </w:r>
      <w:r w:rsidR="00EF2FD4">
        <w:t>, men ikke for store mængder adgangen</w:t>
      </w:r>
      <w:r>
        <w:t xml:space="preserve"> og aldrig mere end 1,0 </w:t>
      </w:r>
      <w:proofErr w:type="spellStart"/>
      <w:r>
        <w:t>mL</w:t>
      </w:r>
      <w:r w:rsidR="001B1B89">
        <w:t>.</w:t>
      </w:r>
      <w:proofErr w:type="spellEnd"/>
      <w:r w:rsidR="001B1B89">
        <w:t xml:space="preserve"> </w:t>
      </w:r>
      <w:r w:rsidR="001B1B89" w:rsidRPr="00B91693">
        <w:rPr>
          <w:b/>
          <w:bCs/>
        </w:rPr>
        <w:t>SØRG for at pH bliver målt ved tilsætning af henholdsvis 6,0 mL NaOH tilsat og 12,0 mL NaOH tilsat (af hensyn til at kunne sammenholde pH beregninger og pH målinger)!</w:t>
      </w:r>
      <w:r w:rsidR="001B1B89">
        <w:t xml:space="preserve"> </w:t>
      </w:r>
      <w:r w:rsidR="001B1B89" w:rsidRPr="00B91693">
        <w:rPr>
          <w:b/>
          <w:bCs/>
        </w:rPr>
        <w:t>N</w:t>
      </w:r>
      <w:r w:rsidR="00EF2FD4" w:rsidRPr="00B91693">
        <w:rPr>
          <w:b/>
          <w:bCs/>
        </w:rPr>
        <w:t xml:space="preserve">år ækvivalenspunktet nærmer sig - så nedsættes tilsætningen </w:t>
      </w:r>
      <w:r w:rsidR="00C7725F">
        <w:rPr>
          <w:b/>
          <w:bCs/>
        </w:rPr>
        <w:t xml:space="preserve">gradvist </w:t>
      </w:r>
      <w:r w:rsidR="00EF2FD4" w:rsidRPr="00B91693">
        <w:rPr>
          <w:b/>
          <w:bCs/>
        </w:rPr>
        <w:t>til 0,</w:t>
      </w:r>
      <w:r w:rsidR="002F45CE" w:rsidRPr="00B91693">
        <w:rPr>
          <w:b/>
          <w:bCs/>
        </w:rPr>
        <w:t>1</w:t>
      </w:r>
      <w:r w:rsidR="00EF2FD4" w:rsidRPr="00B91693">
        <w:rPr>
          <w:b/>
          <w:bCs/>
        </w:rPr>
        <w:t>-0,</w:t>
      </w:r>
      <w:r w:rsidR="00C7725F">
        <w:rPr>
          <w:b/>
          <w:bCs/>
        </w:rPr>
        <w:t>5</w:t>
      </w:r>
      <w:r w:rsidR="00EF2FD4" w:rsidRPr="00B91693">
        <w:rPr>
          <w:b/>
          <w:bCs/>
        </w:rPr>
        <w:t xml:space="preserve"> mL mellem hver måling</w:t>
      </w:r>
      <w:r w:rsidR="00C7725F">
        <w:rPr>
          <w:b/>
          <w:bCs/>
        </w:rPr>
        <w:t xml:space="preserve">. OBS! Det kan være at det tager lidt længere tid før pH elektroden bliver stabil (kun ganske lidt variation på sidste decimal). Vent da til rimelig stabil aflæsning! </w:t>
      </w:r>
      <w:r w:rsidR="00553391">
        <w:t xml:space="preserve">Jo flere målinger </w:t>
      </w:r>
      <w:r w:rsidR="00553391" w:rsidRPr="00C7725F">
        <w:rPr>
          <w:b/>
          <w:bCs/>
        </w:rPr>
        <w:t>omkring</w:t>
      </w:r>
      <w:r w:rsidR="00553391">
        <w:t xml:space="preserve"> ækvivalenspunktet, jo </w:t>
      </w:r>
      <w:r w:rsidR="00317C61">
        <w:t xml:space="preserve">tydeligere ækvivalenspunkt kan aflæses! </w:t>
      </w:r>
      <w:r w:rsidR="00BE04D9">
        <w:t>Brug den kolorimetriske titrering, til at have en fornemmelse af hvor stort volumen natrium</w:t>
      </w:r>
      <w:r w:rsidR="00B142E8">
        <w:t>(1+)</w:t>
      </w:r>
      <w:r w:rsidR="00BE04D9">
        <w:t>hydroxid, der skal tilsættes til ækvivalenspunktet.</w:t>
      </w:r>
    </w:p>
    <w:p w14:paraId="06C6D443" w14:textId="20B45CC9" w:rsidR="00EF2FD4" w:rsidRDefault="00EF2FD4" w:rsidP="004B3BD0">
      <w:pPr>
        <w:ind w:left="720"/>
        <w:jc w:val="both"/>
      </w:pPr>
      <w:r>
        <w:t>Husk også at lave målinger et pænt stykke forbi ækvivalenspunktet</w:t>
      </w:r>
      <w:r w:rsidR="001B1B89">
        <w:t xml:space="preserve"> (fx 5,0 mL efter)</w:t>
      </w:r>
      <w:r>
        <w:t>.</w:t>
      </w:r>
    </w:p>
    <w:p w14:paraId="3F4ECB4F" w14:textId="52474055" w:rsidR="00027EA2" w:rsidRDefault="00EF2FD4" w:rsidP="004B3BD0">
      <w:pPr>
        <w:numPr>
          <w:ilvl w:val="0"/>
          <w:numId w:val="2"/>
        </w:numPr>
        <w:jc w:val="both"/>
      </w:pPr>
      <w:r>
        <w:t xml:space="preserve">Når titreringen er afsluttet, </w:t>
      </w:r>
      <w:r w:rsidR="00317C61">
        <w:t xml:space="preserve">gemmes </w:t>
      </w:r>
      <w:proofErr w:type="spellStart"/>
      <w:r w:rsidR="00317C61">
        <w:t>LoggerPro</w:t>
      </w:r>
      <w:proofErr w:type="spellEnd"/>
      <w:r w:rsidR="00317C61">
        <w:t xml:space="preserve"> filen og data </w:t>
      </w:r>
      <w:r>
        <w:t xml:space="preserve">overføres fra </w:t>
      </w:r>
      <w:proofErr w:type="spellStart"/>
      <w:r w:rsidR="00210A23">
        <w:t>LoggerPro</w:t>
      </w:r>
      <w:proofErr w:type="spellEnd"/>
      <w:r w:rsidR="00210A23">
        <w:t xml:space="preserve"> </w:t>
      </w:r>
      <w:r>
        <w:t xml:space="preserve">til fx </w:t>
      </w:r>
      <w:r w:rsidR="00B142E8">
        <w:t>Excel</w:t>
      </w:r>
      <w:r>
        <w:t xml:space="preserve"> </w:t>
      </w:r>
      <w:r w:rsidR="00317C61">
        <w:t>hvor</w:t>
      </w:r>
      <w:r>
        <w:t xml:space="preserve"> resultaterne kan viderebearbejdes</w:t>
      </w:r>
      <w:r w:rsidR="00BE04D9">
        <w:t>.</w:t>
      </w:r>
      <w:r w:rsidR="00027EA2">
        <w:t xml:space="preserve"> </w:t>
      </w:r>
      <w:r w:rsidR="00E733AA">
        <w:t xml:space="preserve">Datasøjlerne kan </w:t>
      </w:r>
      <w:proofErr w:type="spellStart"/>
      <w:r w:rsidR="00E733AA">
        <w:t>copy</w:t>
      </w:r>
      <w:proofErr w:type="spellEnd"/>
      <w:r w:rsidR="00E733AA">
        <w:t>/</w:t>
      </w:r>
      <w:proofErr w:type="spellStart"/>
      <w:r w:rsidR="00E733AA">
        <w:t>pastes</w:t>
      </w:r>
      <w:proofErr w:type="spellEnd"/>
      <w:r w:rsidR="00027EA2">
        <w:t xml:space="preserve"> direkte </w:t>
      </w:r>
      <w:r w:rsidR="00E733AA">
        <w:t>til</w:t>
      </w:r>
      <w:r w:rsidR="00027EA2">
        <w:t xml:space="preserve"> Excel for Windows brugere. For Mac brugere - se hvordan data overføres </w:t>
      </w:r>
      <w:r w:rsidR="009538B1">
        <w:t xml:space="preserve">og åbnes korrekt </w:t>
      </w:r>
      <w:r w:rsidR="00027EA2">
        <w:t>her:</w:t>
      </w:r>
      <w:r w:rsidR="00210A23">
        <w:t xml:space="preserve"> </w:t>
      </w:r>
    </w:p>
    <w:p w14:paraId="14C9BE26" w14:textId="515F5D68" w:rsidR="00C16A30" w:rsidRPr="00E427D0" w:rsidRDefault="00FF0015" w:rsidP="00FF0015">
      <w:pPr>
        <w:ind w:left="720"/>
        <w:jc w:val="both"/>
      </w:pPr>
      <w:hyperlink r:id="rId17" w:history="1">
        <w:r w:rsidRPr="00D813C2">
          <w:rPr>
            <w:rStyle w:val="Hyperlink"/>
          </w:rPr>
          <w:t>https://drive.google.com/file/d/15IgVeARIkh_DaZKUFf6_Vc04kAUoBbHK/view?usp=sharing</w:t>
        </w:r>
      </w:hyperlink>
      <w:r w:rsidR="00EF2FD4">
        <w:t>)</w:t>
      </w:r>
    </w:p>
    <w:p w14:paraId="1A9066F0" w14:textId="77777777" w:rsidR="00E427D0" w:rsidRDefault="00E427D0" w:rsidP="00E427D0">
      <w:pPr>
        <w:rPr>
          <w:b/>
        </w:rPr>
      </w:pPr>
    </w:p>
    <w:p w14:paraId="30C9C255" w14:textId="77777777" w:rsidR="0019329A" w:rsidRPr="0067295B" w:rsidRDefault="0019329A" w:rsidP="0019329A">
      <w:pPr>
        <w:rPr>
          <w:u w:val="single"/>
        </w:rPr>
      </w:pPr>
      <w:r w:rsidRPr="0067295B">
        <w:rPr>
          <w:u w:val="single"/>
        </w:rPr>
        <w:t>Mål husholdningseddikes pH-værdi</w:t>
      </w:r>
    </w:p>
    <w:p w14:paraId="4730F2BF" w14:textId="77777777" w:rsidR="0019329A" w:rsidRDefault="0019329A" w:rsidP="0067295B">
      <w:pPr>
        <w:numPr>
          <w:ilvl w:val="0"/>
          <w:numId w:val="3"/>
        </w:numPr>
        <w:jc w:val="both"/>
      </w:pPr>
      <w:r>
        <w:t xml:space="preserve">Hæld omkring 20 mL husholdningseddike i et bægerglas. </w:t>
      </w:r>
    </w:p>
    <w:p w14:paraId="37F51114" w14:textId="170E4291" w:rsidR="00E640AB" w:rsidRPr="0067295B" w:rsidRDefault="0019329A" w:rsidP="0067295B">
      <w:pPr>
        <w:numPr>
          <w:ilvl w:val="0"/>
          <w:numId w:val="3"/>
        </w:numPr>
        <w:jc w:val="both"/>
      </w:pPr>
      <w:r>
        <w:t>Mål opløsningens pH-værdi med henholdsvis et stykke universalindikatorpapir og et pH-meter.</w:t>
      </w:r>
    </w:p>
    <w:p w14:paraId="4F9CFE16" w14:textId="77777777" w:rsidR="00C16A30" w:rsidRPr="000C755E" w:rsidRDefault="00BE04D9" w:rsidP="00C16A30">
      <w:pPr>
        <w:pStyle w:val="Overskrift3"/>
        <w:rPr>
          <w:sz w:val="22"/>
          <w:szCs w:val="22"/>
        </w:rPr>
      </w:pPr>
      <w:r w:rsidRPr="000C755E">
        <w:rPr>
          <w:sz w:val="22"/>
          <w:szCs w:val="22"/>
        </w:rPr>
        <w:t>Efterbehandling</w:t>
      </w:r>
    </w:p>
    <w:p w14:paraId="54CC7951" w14:textId="746962BB" w:rsidR="00C16A30" w:rsidRPr="008B1737" w:rsidRDefault="00C16A30" w:rsidP="00EF1AF7">
      <w:pPr>
        <w:pStyle w:val="Lyn1"/>
        <w:numPr>
          <w:ilvl w:val="0"/>
          <w:numId w:val="7"/>
        </w:numPr>
        <w:jc w:val="both"/>
        <w:rPr>
          <w:sz w:val="22"/>
          <w:szCs w:val="22"/>
          <w:lang w:val="da-DK"/>
        </w:rPr>
      </w:pPr>
      <w:r w:rsidRPr="008B1737">
        <w:rPr>
          <w:sz w:val="22"/>
          <w:szCs w:val="22"/>
          <w:lang w:val="da-DK"/>
        </w:rPr>
        <w:t>Alle aflæste og målte talstørrelser skal opstilles overskueligt</w:t>
      </w:r>
      <w:r w:rsidR="00107999">
        <w:rPr>
          <w:sz w:val="22"/>
          <w:szCs w:val="22"/>
          <w:lang w:val="da-DK"/>
        </w:rPr>
        <w:t xml:space="preserve"> i fx tabel.</w:t>
      </w:r>
    </w:p>
    <w:p w14:paraId="435704C6" w14:textId="77777777" w:rsidR="00BE04D9" w:rsidRPr="00AA6D0D" w:rsidRDefault="00BE04D9" w:rsidP="00EF1AF7">
      <w:pPr>
        <w:pStyle w:val="Lyn1"/>
        <w:numPr>
          <w:ilvl w:val="0"/>
          <w:numId w:val="0"/>
        </w:numPr>
        <w:ind w:left="720" w:hanging="720"/>
        <w:jc w:val="both"/>
        <w:rPr>
          <w:bCs/>
          <w:iCs/>
          <w:sz w:val="22"/>
          <w:szCs w:val="22"/>
          <w:u w:val="single"/>
          <w:lang w:val="da-DK"/>
        </w:rPr>
      </w:pPr>
      <w:r w:rsidRPr="00AA6D0D">
        <w:rPr>
          <w:bCs/>
          <w:iCs/>
          <w:sz w:val="22"/>
          <w:szCs w:val="22"/>
          <w:u w:val="single"/>
          <w:lang w:val="da-DK"/>
        </w:rPr>
        <w:t>Kolorimetrisk titrering:</w:t>
      </w:r>
    </w:p>
    <w:p w14:paraId="7C5EEC6E" w14:textId="19AACEDA" w:rsidR="005259C4" w:rsidRPr="008B1737" w:rsidRDefault="005259C4" w:rsidP="00EF1AF7">
      <w:pPr>
        <w:pStyle w:val="Lyn1"/>
        <w:numPr>
          <w:ilvl w:val="0"/>
          <w:numId w:val="7"/>
        </w:numPr>
        <w:jc w:val="both"/>
        <w:rPr>
          <w:sz w:val="22"/>
          <w:szCs w:val="22"/>
          <w:lang w:val="da-DK"/>
        </w:rPr>
      </w:pPr>
      <w:r w:rsidRPr="008B1737">
        <w:rPr>
          <w:sz w:val="22"/>
          <w:szCs w:val="22"/>
          <w:lang w:val="da-DK"/>
        </w:rPr>
        <w:t xml:space="preserve">Beregn eddikesyres </w:t>
      </w:r>
      <w:r w:rsidR="000407C8" w:rsidRPr="008B1737">
        <w:rPr>
          <w:sz w:val="22"/>
          <w:szCs w:val="22"/>
          <w:lang w:val="da-DK"/>
        </w:rPr>
        <w:t>stofmængde</w:t>
      </w:r>
      <w:r w:rsidRPr="008B1737">
        <w:rPr>
          <w:sz w:val="22"/>
          <w:szCs w:val="22"/>
          <w:lang w:val="da-DK"/>
        </w:rPr>
        <w:t xml:space="preserve">koncentration i husholdningseddike ud fra </w:t>
      </w:r>
      <w:r w:rsidR="00BE04D9" w:rsidRPr="008B1737">
        <w:rPr>
          <w:sz w:val="22"/>
          <w:szCs w:val="22"/>
          <w:lang w:val="da-DK"/>
        </w:rPr>
        <w:t>d</w:t>
      </w:r>
      <w:r w:rsidRPr="008B1737">
        <w:rPr>
          <w:sz w:val="22"/>
          <w:szCs w:val="22"/>
          <w:lang w:val="da-DK"/>
        </w:rPr>
        <w:t>en kolorimetriske titre</w:t>
      </w:r>
      <w:r w:rsidR="00BE04D9" w:rsidRPr="008B1737">
        <w:rPr>
          <w:sz w:val="22"/>
          <w:szCs w:val="22"/>
          <w:lang w:val="da-DK"/>
        </w:rPr>
        <w:t xml:space="preserve">ring: </w:t>
      </w:r>
      <w:r w:rsidR="0067295B" w:rsidRPr="008B1737">
        <w:rPr>
          <w:sz w:val="22"/>
          <w:szCs w:val="22"/>
          <w:lang w:val="da-DK"/>
        </w:rPr>
        <w:t>Dels i den rene husholdningseddike og d</w:t>
      </w:r>
      <w:r w:rsidR="00BE04D9" w:rsidRPr="008B1737">
        <w:rPr>
          <w:sz w:val="22"/>
          <w:szCs w:val="22"/>
          <w:lang w:val="da-DK"/>
        </w:rPr>
        <w:t xml:space="preserve">els </w:t>
      </w:r>
      <w:r w:rsidR="002E1787" w:rsidRPr="008B1737">
        <w:rPr>
          <w:sz w:val="22"/>
          <w:szCs w:val="22"/>
          <w:lang w:val="da-DK"/>
        </w:rPr>
        <w:t xml:space="preserve">i den fortyndede husholdningseddike </w:t>
      </w:r>
      <w:r w:rsidR="00BE04D9" w:rsidRPr="008B1737">
        <w:rPr>
          <w:sz w:val="22"/>
          <w:szCs w:val="22"/>
          <w:lang w:val="da-DK"/>
        </w:rPr>
        <w:t xml:space="preserve">efter </w:t>
      </w:r>
      <w:r w:rsidR="0067295B" w:rsidRPr="008B1737">
        <w:rPr>
          <w:sz w:val="22"/>
          <w:szCs w:val="22"/>
          <w:lang w:val="da-DK"/>
        </w:rPr>
        <w:t>tilsætning af de</w:t>
      </w:r>
      <w:r w:rsidR="00BE04D9" w:rsidRPr="008B1737">
        <w:rPr>
          <w:sz w:val="22"/>
          <w:szCs w:val="22"/>
          <w:lang w:val="da-DK"/>
        </w:rPr>
        <w:t xml:space="preserve"> 20 mL vand (lige før titreringen påbegyndes).</w:t>
      </w:r>
    </w:p>
    <w:p w14:paraId="51C5D5B5" w14:textId="77777777" w:rsidR="008B1737" w:rsidRDefault="008B1737" w:rsidP="001A33B4">
      <w:pPr>
        <w:pStyle w:val="Lyn1"/>
        <w:numPr>
          <w:ilvl w:val="0"/>
          <w:numId w:val="0"/>
        </w:numPr>
        <w:jc w:val="both"/>
        <w:rPr>
          <w:bCs/>
          <w:iCs/>
          <w:sz w:val="22"/>
          <w:szCs w:val="22"/>
          <w:u w:val="single"/>
          <w:lang w:val="da-DK"/>
        </w:rPr>
      </w:pPr>
    </w:p>
    <w:p w14:paraId="60A12342" w14:textId="4258551B" w:rsidR="00BE04D9" w:rsidRPr="00AA6D0D" w:rsidRDefault="00BE04D9" w:rsidP="00EF1AF7">
      <w:pPr>
        <w:pStyle w:val="Lyn1"/>
        <w:numPr>
          <w:ilvl w:val="0"/>
          <w:numId w:val="0"/>
        </w:numPr>
        <w:ind w:left="720" w:hanging="720"/>
        <w:jc w:val="both"/>
        <w:rPr>
          <w:bCs/>
          <w:iCs/>
          <w:sz w:val="22"/>
          <w:szCs w:val="22"/>
          <w:u w:val="single"/>
          <w:lang w:val="da-DK"/>
        </w:rPr>
      </w:pPr>
      <w:r w:rsidRPr="00AA6D0D">
        <w:rPr>
          <w:bCs/>
          <w:iCs/>
          <w:sz w:val="22"/>
          <w:szCs w:val="22"/>
          <w:u w:val="single"/>
          <w:lang w:val="da-DK"/>
        </w:rPr>
        <w:t>Potentiometrisk titrering:</w:t>
      </w:r>
    </w:p>
    <w:p w14:paraId="20D27904" w14:textId="618C64DE" w:rsidR="00BE04D9" w:rsidRPr="008B1737" w:rsidRDefault="00BE04D9" w:rsidP="00EF1AF7">
      <w:pPr>
        <w:pStyle w:val="Lyn1"/>
        <w:numPr>
          <w:ilvl w:val="0"/>
          <w:numId w:val="3"/>
        </w:numPr>
        <w:jc w:val="both"/>
        <w:rPr>
          <w:sz w:val="22"/>
          <w:szCs w:val="22"/>
          <w:lang w:val="da-DK"/>
        </w:rPr>
      </w:pPr>
      <w:r w:rsidRPr="008B1737">
        <w:rPr>
          <w:sz w:val="22"/>
          <w:szCs w:val="22"/>
          <w:lang w:val="da-DK"/>
        </w:rPr>
        <w:t>Lav t</w:t>
      </w:r>
      <w:r w:rsidR="00C16A30" w:rsidRPr="008B1737">
        <w:rPr>
          <w:sz w:val="22"/>
          <w:szCs w:val="22"/>
          <w:lang w:val="da-DK"/>
        </w:rPr>
        <w:t>itrerkurve</w:t>
      </w:r>
      <w:r w:rsidR="005259C4" w:rsidRPr="008B1737">
        <w:rPr>
          <w:sz w:val="22"/>
          <w:szCs w:val="22"/>
          <w:lang w:val="da-DK"/>
        </w:rPr>
        <w:t>n</w:t>
      </w:r>
      <w:r w:rsidR="000C755E" w:rsidRPr="008B1737">
        <w:rPr>
          <w:sz w:val="22"/>
          <w:szCs w:val="22"/>
          <w:lang w:val="da-DK"/>
        </w:rPr>
        <w:t xml:space="preserve"> i fx Excel. Husk at angive hvilke kemiske størrelser der er afsat ud af de to akser</w:t>
      </w:r>
      <w:r w:rsidR="00390D72">
        <w:rPr>
          <w:sz w:val="22"/>
          <w:szCs w:val="22"/>
          <w:lang w:val="da-DK"/>
        </w:rPr>
        <w:t>,</w:t>
      </w:r>
      <w:r w:rsidR="00390D72" w:rsidRPr="00390D72">
        <w:rPr>
          <w:sz w:val="22"/>
          <w:szCs w:val="22"/>
          <w:lang w:val="da-DK"/>
        </w:rPr>
        <w:t xml:space="preserve"> </w:t>
      </w:r>
      <w:r w:rsidR="00390D72" w:rsidRPr="008B1737">
        <w:rPr>
          <w:sz w:val="22"/>
          <w:szCs w:val="22"/>
          <w:lang w:val="da-DK"/>
        </w:rPr>
        <w:t>og med hvilke enheder</w:t>
      </w:r>
      <w:r w:rsidR="00390D72">
        <w:rPr>
          <w:sz w:val="22"/>
          <w:szCs w:val="22"/>
          <w:lang w:val="da-DK"/>
        </w:rPr>
        <w:t>.</w:t>
      </w:r>
    </w:p>
    <w:p w14:paraId="4579405B" w14:textId="3E8AB722" w:rsidR="00C16A30" w:rsidRPr="008B1737" w:rsidRDefault="00C16A30" w:rsidP="00EF1AF7">
      <w:pPr>
        <w:pStyle w:val="Lyn1"/>
        <w:numPr>
          <w:ilvl w:val="0"/>
          <w:numId w:val="3"/>
        </w:numPr>
        <w:jc w:val="both"/>
        <w:rPr>
          <w:sz w:val="22"/>
          <w:szCs w:val="22"/>
          <w:lang w:val="da-DK"/>
        </w:rPr>
      </w:pPr>
      <w:r w:rsidRPr="008B1737">
        <w:rPr>
          <w:sz w:val="22"/>
          <w:szCs w:val="22"/>
          <w:lang w:val="da-DK"/>
        </w:rPr>
        <w:t xml:space="preserve">Ud fra titrerkurven </w:t>
      </w:r>
      <w:r w:rsidR="00BE04D9" w:rsidRPr="008B1737">
        <w:rPr>
          <w:sz w:val="22"/>
          <w:szCs w:val="22"/>
          <w:lang w:val="da-DK"/>
        </w:rPr>
        <w:t>aflæses ækvivalenspunktet</w:t>
      </w:r>
      <w:r w:rsidR="00AA6D0D" w:rsidRPr="008B1737">
        <w:rPr>
          <w:sz w:val="22"/>
          <w:szCs w:val="22"/>
          <w:lang w:val="da-DK"/>
        </w:rPr>
        <w:t xml:space="preserve"> - dvs. både </w:t>
      </w:r>
      <w:r w:rsidRPr="008B1737">
        <w:rPr>
          <w:sz w:val="22"/>
          <w:szCs w:val="22"/>
          <w:lang w:val="da-DK"/>
        </w:rPr>
        <w:t>pH-værdi og volumen</w:t>
      </w:r>
      <w:r w:rsidR="00BE04D9" w:rsidRPr="008B1737">
        <w:rPr>
          <w:sz w:val="22"/>
          <w:szCs w:val="22"/>
          <w:lang w:val="da-DK"/>
        </w:rPr>
        <w:t xml:space="preserve"> af</w:t>
      </w:r>
      <w:r w:rsidRPr="008B1737">
        <w:rPr>
          <w:sz w:val="22"/>
          <w:szCs w:val="22"/>
          <w:lang w:val="da-DK"/>
        </w:rPr>
        <w:t xml:space="preserve"> tilsat </w:t>
      </w:r>
      <w:proofErr w:type="spellStart"/>
      <w:r w:rsidRPr="008B1737">
        <w:rPr>
          <w:sz w:val="22"/>
          <w:szCs w:val="22"/>
          <w:lang w:val="da-DK"/>
        </w:rPr>
        <w:t>titra</w:t>
      </w:r>
      <w:r w:rsidR="00BE04D9" w:rsidRPr="008B1737">
        <w:rPr>
          <w:sz w:val="22"/>
          <w:szCs w:val="22"/>
          <w:lang w:val="da-DK"/>
        </w:rPr>
        <w:t>tor</w:t>
      </w:r>
      <w:proofErr w:type="spellEnd"/>
      <w:r w:rsidRPr="008B1737">
        <w:rPr>
          <w:sz w:val="22"/>
          <w:szCs w:val="22"/>
          <w:lang w:val="da-DK"/>
        </w:rPr>
        <w:t>.</w:t>
      </w:r>
    </w:p>
    <w:p w14:paraId="57A6BBD9" w14:textId="2C133CB2" w:rsidR="00C16A30" w:rsidRDefault="00C16A30" w:rsidP="00EF1AF7">
      <w:pPr>
        <w:pStyle w:val="Lyn1"/>
        <w:numPr>
          <w:ilvl w:val="0"/>
          <w:numId w:val="7"/>
        </w:numPr>
        <w:jc w:val="both"/>
        <w:rPr>
          <w:sz w:val="22"/>
          <w:szCs w:val="22"/>
          <w:lang w:val="da-DK"/>
        </w:rPr>
      </w:pPr>
      <w:r w:rsidRPr="008B1737">
        <w:rPr>
          <w:sz w:val="22"/>
          <w:szCs w:val="22"/>
          <w:lang w:val="da-DK"/>
        </w:rPr>
        <w:t>Ud fra det aflæste volumen bereg</w:t>
      </w:r>
      <w:r w:rsidR="00BE04D9" w:rsidRPr="008B1737">
        <w:rPr>
          <w:sz w:val="22"/>
          <w:szCs w:val="22"/>
          <w:lang w:val="da-DK"/>
        </w:rPr>
        <w:t xml:space="preserve">nes </w:t>
      </w:r>
      <w:r w:rsidR="00BA6DC2" w:rsidRPr="008B1737">
        <w:rPr>
          <w:sz w:val="22"/>
          <w:szCs w:val="22"/>
          <w:lang w:val="da-DK"/>
        </w:rPr>
        <w:t>eddikesyres</w:t>
      </w:r>
      <w:r w:rsidR="00BE04D9" w:rsidRPr="008B1737">
        <w:rPr>
          <w:sz w:val="22"/>
          <w:szCs w:val="22"/>
          <w:lang w:val="da-DK"/>
        </w:rPr>
        <w:t xml:space="preserve"> </w:t>
      </w:r>
      <w:r w:rsidR="00BA6DC2" w:rsidRPr="008B1737">
        <w:rPr>
          <w:sz w:val="22"/>
          <w:szCs w:val="22"/>
          <w:lang w:val="da-DK"/>
        </w:rPr>
        <w:t>stofmængde</w:t>
      </w:r>
      <w:r w:rsidR="00BE04D9" w:rsidRPr="008B1737">
        <w:rPr>
          <w:sz w:val="22"/>
          <w:szCs w:val="22"/>
          <w:lang w:val="da-DK"/>
        </w:rPr>
        <w:t>koncentration</w:t>
      </w:r>
      <w:r w:rsidRPr="008B1737">
        <w:rPr>
          <w:sz w:val="22"/>
          <w:szCs w:val="22"/>
          <w:lang w:val="da-DK"/>
        </w:rPr>
        <w:t xml:space="preserve">: </w:t>
      </w:r>
      <w:r w:rsidR="00BA6DC2" w:rsidRPr="008B1737">
        <w:rPr>
          <w:sz w:val="22"/>
          <w:szCs w:val="22"/>
          <w:lang w:val="da-DK"/>
        </w:rPr>
        <w:t>Dels i den rene husholdningseddike og dels efter tilsætning af de 20 mL vand (lige før titreringen påbegyndes).</w:t>
      </w:r>
    </w:p>
    <w:p w14:paraId="790C5246" w14:textId="5B6284C5" w:rsidR="008C4C22" w:rsidRPr="008B1737" w:rsidRDefault="008C4C22" w:rsidP="00EF1AF7">
      <w:pPr>
        <w:pStyle w:val="Lyn1"/>
        <w:numPr>
          <w:ilvl w:val="0"/>
          <w:numId w:val="7"/>
        </w:numPr>
        <w:jc w:val="both"/>
        <w:rPr>
          <w:sz w:val="22"/>
          <w:szCs w:val="22"/>
          <w:lang w:val="da-DK"/>
        </w:rPr>
      </w:pPr>
      <w:r w:rsidRPr="008B1737">
        <w:rPr>
          <w:sz w:val="22"/>
          <w:szCs w:val="22"/>
          <w:lang w:val="da-DK"/>
        </w:rPr>
        <w:t>pH</w:t>
      </w:r>
      <w:r>
        <w:rPr>
          <w:sz w:val="22"/>
          <w:szCs w:val="22"/>
          <w:lang w:val="da-DK"/>
        </w:rPr>
        <w:t xml:space="preserve"> </w:t>
      </w:r>
      <w:r>
        <w:rPr>
          <w:b/>
          <w:bCs/>
          <w:sz w:val="22"/>
          <w:szCs w:val="22"/>
          <w:lang w:val="da-DK"/>
        </w:rPr>
        <w:t>beregnes</w:t>
      </w:r>
      <w:r w:rsidRPr="008B1737">
        <w:rPr>
          <w:sz w:val="22"/>
          <w:szCs w:val="22"/>
          <w:lang w:val="da-DK"/>
        </w:rPr>
        <w:t xml:space="preserve"> i </w:t>
      </w:r>
      <w:r>
        <w:rPr>
          <w:sz w:val="22"/>
          <w:szCs w:val="22"/>
          <w:lang w:val="da-DK"/>
        </w:rPr>
        <w:t>husholdningseddiken</w:t>
      </w:r>
      <w:r w:rsidRPr="008B1737">
        <w:rPr>
          <w:sz w:val="22"/>
          <w:szCs w:val="22"/>
          <w:lang w:val="da-DK"/>
        </w:rPr>
        <w:t xml:space="preserve"> og sammenlignes med den målte pH</w:t>
      </w:r>
      <w:r>
        <w:rPr>
          <w:sz w:val="22"/>
          <w:szCs w:val="22"/>
          <w:lang w:val="da-DK"/>
        </w:rPr>
        <w:t xml:space="preserve"> i husholdningseddike.</w:t>
      </w:r>
    </w:p>
    <w:p w14:paraId="77BCD22C" w14:textId="414C6D8B" w:rsidR="005D487B" w:rsidRPr="008B1737" w:rsidRDefault="005D487B" w:rsidP="00EF1AF7">
      <w:pPr>
        <w:pStyle w:val="Lyn1"/>
        <w:numPr>
          <w:ilvl w:val="0"/>
          <w:numId w:val="7"/>
        </w:numPr>
        <w:jc w:val="both"/>
        <w:rPr>
          <w:sz w:val="22"/>
          <w:szCs w:val="22"/>
          <w:lang w:val="da-DK"/>
        </w:rPr>
      </w:pPr>
      <w:r w:rsidRPr="008B1737">
        <w:rPr>
          <w:sz w:val="22"/>
          <w:szCs w:val="22"/>
          <w:lang w:val="da-DK"/>
        </w:rPr>
        <w:t>pH</w:t>
      </w:r>
      <w:r w:rsidR="008C4C22">
        <w:rPr>
          <w:sz w:val="22"/>
          <w:szCs w:val="22"/>
          <w:lang w:val="da-DK"/>
        </w:rPr>
        <w:t xml:space="preserve"> </w:t>
      </w:r>
      <w:r w:rsidR="008C4C22">
        <w:rPr>
          <w:b/>
          <w:bCs/>
          <w:sz w:val="22"/>
          <w:szCs w:val="22"/>
          <w:lang w:val="da-DK"/>
        </w:rPr>
        <w:t>beregnes</w:t>
      </w:r>
      <w:r w:rsidRPr="008B1737">
        <w:rPr>
          <w:sz w:val="22"/>
          <w:szCs w:val="22"/>
          <w:lang w:val="da-DK"/>
        </w:rPr>
        <w:t xml:space="preserve"> i den fortyndede husholdningseddike efter tilsætning af de 20 mL vand (lige før titreringen påbegyndes) og sammenlignes med den målte pH ved titreringens start (0,0 mL NaOH tilsat).</w:t>
      </w:r>
    </w:p>
    <w:p w14:paraId="3281570A" w14:textId="5EA43648" w:rsidR="00C16A30" w:rsidRPr="008B1737" w:rsidRDefault="00C16A30" w:rsidP="00EF1AF7">
      <w:pPr>
        <w:pStyle w:val="Lyn1"/>
        <w:numPr>
          <w:ilvl w:val="0"/>
          <w:numId w:val="7"/>
        </w:numPr>
        <w:jc w:val="both"/>
        <w:rPr>
          <w:sz w:val="22"/>
          <w:szCs w:val="22"/>
          <w:lang w:val="da-DK"/>
        </w:rPr>
      </w:pPr>
      <w:r w:rsidRPr="008B1737">
        <w:rPr>
          <w:sz w:val="22"/>
          <w:szCs w:val="22"/>
          <w:lang w:val="da-DK"/>
        </w:rPr>
        <w:t xml:space="preserve">pH i ækvivalenspunktet </w:t>
      </w:r>
      <w:r w:rsidRPr="008B1737">
        <w:rPr>
          <w:b/>
          <w:bCs/>
          <w:sz w:val="22"/>
          <w:szCs w:val="22"/>
          <w:lang w:val="da-DK"/>
        </w:rPr>
        <w:t>beregnes</w:t>
      </w:r>
      <w:r w:rsidRPr="008B1737">
        <w:rPr>
          <w:sz w:val="22"/>
          <w:szCs w:val="22"/>
          <w:lang w:val="da-DK"/>
        </w:rPr>
        <w:t xml:space="preserve">. Den beregnede pH værdi sammenlignes med den </w:t>
      </w:r>
      <w:r w:rsidR="009444C6" w:rsidRPr="008B1737">
        <w:rPr>
          <w:sz w:val="22"/>
          <w:szCs w:val="22"/>
          <w:lang w:val="da-DK"/>
        </w:rPr>
        <w:t>målte</w:t>
      </w:r>
      <w:r w:rsidRPr="008B1737">
        <w:rPr>
          <w:sz w:val="22"/>
          <w:szCs w:val="22"/>
          <w:lang w:val="da-DK"/>
        </w:rPr>
        <w:t xml:space="preserve"> </w:t>
      </w:r>
      <w:r w:rsidR="009444C6" w:rsidRPr="008B1737">
        <w:rPr>
          <w:sz w:val="22"/>
          <w:szCs w:val="22"/>
          <w:lang w:val="da-DK"/>
        </w:rPr>
        <w:t>pH i ækvivalenspunktet</w:t>
      </w:r>
      <w:r w:rsidR="00BE04D9" w:rsidRPr="008B1737">
        <w:rPr>
          <w:sz w:val="22"/>
          <w:szCs w:val="22"/>
          <w:lang w:val="da-DK"/>
        </w:rPr>
        <w:t>.</w:t>
      </w:r>
    </w:p>
    <w:p w14:paraId="5CC33E19" w14:textId="5C4C36E2" w:rsidR="008B1737" w:rsidRPr="008B1737" w:rsidRDefault="008B1737" w:rsidP="008B1737">
      <w:pPr>
        <w:pStyle w:val="Lyn1"/>
        <w:numPr>
          <w:ilvl w:val="0"/>
          <w:numId w:val="7"/>
        </w:numPr>
        <w:jc w:val="both"/>
        <w:rPr>
          <w:sz w:val="22"/>
          <w:szCs w:val="22"/>
          <w:lang w:val="da-DK"/>
        </w:rPr>
      </w:pPr>
      <w:r w:rsidRPr="008B1737">
        <w:rPr>
          <w:sz w:val="22"/>
          <w:szCs w:val="22"/>
          <w:lang w:val="da-DK"/>
        </w:rPr>
        <w:t xml:space="preserve">pH beregnes </w:t>
      </w:r>
      <w:r w:rsidR="008C4C22">
        <w:rPr>
          <w:sz w:val="22"/>
          <w:szCs w:val="22"/>
          <w:lang w:val="da-DK"/>
        </w:rPr>
        <w:t>ved henholdsvis 6,0 mL NaOH og 12,0 mL NaOH tilsat og sammenlignes med de målte pH værdier ved disse tilsætninger af NaOH.</w:t>
      </w:r>
    </w:p>
    <w:p w14:paraId="3C346D77" w14:textId="72799A8C" w:rsidR="008B1737" w:rsidRPr="001A33B4" w:rsidRDefault="00BA6DC2" w:rsidP="001A33B4">
      <w:pPr>
        <w:pStyle w:val="Lyn1"/>
        <w:numPr>
          <w:ilvl w:val="0"/>
          <w:numId w:val="7"/>
        </w:numPr>
        <w:jc w:val="both"/>
        <w:rPr>
          <w:sz w:val="22"/>
          <w:szCs w:val="22"/>
          <w:lang w:val="da-DK"/>
        </w:rPr>
      </w:pPr>
      <m:oMath>
        <m:r>
          <m:rPr>
            <m:sty m:val="p"/>
          </m:rPr>
          <w:rPr>
            <w:rFonts w:ascii="Cambria Math" w:hAnsi="Cambria Math"/>
            <w:sz w:val="22"/>
            <w:szCs w:val="22"/>
            <w:lang w:val="da-DK"/>
          </w:rPr>
          <m:t>p</m:t>
        </m:r>
        <m:sSub>
          <m:sSubPr>
            <m:ctrlPr>
              <w:rPr>
                <w:rFonts w:ascii="Cambria Math" w:hAnsi="Cambria Math"/>
                <w:i/>
                <w:sz w:val="22"/>
                <w:szCs w:val="22"/>
                <w:lang w:val="da-DK"/>
              </w:rPr>
            </m:ctrlPr>
          </m:sSubPr>
          <m:e>
            <m:r>
              <w:rPr>
                <w:rFonts w:ascii="Cambria Math" w:hAnsi="Cambria Math"/>
                <w:sz w:val="22"/>
                <w:szCs w:val="22"/>
                <w:lang w:val="da-DK"/>
              </w:rPr>
              <m:t>K</m:t>
            </m:r>
          </m:e>
          <m:sub>
            <m:r>
              <m:rPr>
                <m:sty m:val="p"/>
              </m:rPr>
              <w:rPr>
                <w:rFonts w:ascii="Cambria Math" w:hAnsi="Cambria Math"/>
                <w:sz w:val="22"/>
                <w:szCs w:val="22"/>
                <w:lang w:val="da-DK"/>
              </w:rPr>
              <m:t>s</m:t>
            </m:r>
          </m:sub>
        </m:sSub>
      </m:oMath>
      <w:r w:rsidR="00BE04D9" w:rsidRPr="008B1737">
        <w:rPr>
          <w:sz w:val="22"/>
          <w:szCs w:val="22"/>
          <w:lang w:val="da-DK"/>
        </w:rPr>
        <w:t xml:space="preserve"> bestemmes ud fra titrerkurven. Der sammenlignes med tabelværdien.</w:t>
      </w:r>
    </w:p>
    <w:p w14:paraId="0869494F" w14:textId="644EC04E" w:rsidR="00BE04D9" w:rsidRPr="008B1737" w:rsidRDefault="00BE04D9" w:rsidP="00EF1AF7">
      <w:pPr>
        <w:pStyle w:val="Lyn1"/>
        <w:numPr>
          <w:ilvl w:val="0"/>
          <w:numId w:val="0"/>
        </w:numPr>
        <w:ind w:left="720" w:hanging="720"/>
        <w:jc w:val="both"/>
        <w:rPr>
          <w:bCs/>
          <w:iCs/>
          <w:sz w:val="22"/>
          <w:szCs w:val="22"/>
          <w:u w:val="single"/>
          <w:lang w:val="da-DK"/>
        </w:rPr>
      </w:pPr>
      <w:r w:rsidRPr="008B1737">
        <w:rPr>
          <w:bCs/>
          <w:iCs/>
          <w:sz w:val="22"/>
          <w:szCs w:val="22"/>
          <w:u w:val="single"/>
          <w:lang w:val="da-DK"/>
        </w:rPr>
        <w:t>Begge titreringer:</w:t>
      </w:r>
    </w:p>
    <w:p w14:paraId="4A2E153E" w14:textId="77777777" w:rsidR="005259C4" w:rsidRPr="008B1737" w:rsidRDefault="005259C4" w:rsidP="00EF1AF7">
      <w:pPr>
        <w:pStyle w:val="Lyn1"/>
        <w:numPr>
          <w:ilvl w:val="0"/>
          <w:numId w:val="7"/>
        </w:numPr>
        <w:jc w:val="both"/>
        <w:rPr>
          <w:sz w:val="22"/>
          <w:szCs w:val="22"/>
          <w:lang w:val="da-DK"/>
        </w:rPr>
      </w:pPr>
      <w:r w:rsidRPr="008B1737">
        <w:rPr>
          <w:sz w:val="22"/>
          <w:szCs w:val="22"/>
          <w:lang w:val="da-DK"/>
        </w:rPr>
        <w:t xml:space="preserve">Beregn eddikesyres </w:t>
      </w:r>
      <w:r w:rsidR="00BE04D9" w:rsidRPr="008B1737">
        <w:rPr>
          <w:sz w:val="22"/>
          <w:szCs w:val="22"/>
          <w:lang w:val="da-DK"/>
        </w:rPr>
        <w:t>masseprocent</w:t>
      </w:r>
      <w:r w:rsidRPr="008B1737">
        <w:rPr>
          <w:sz w:val="22"/>
          <w:szCs w:val="22"/>
          <w:lang w:val="da-DK"/>
        </w:rPr>
        <w:t xml:space="preserve"> i husholdningseddike og sammenlign med varedeklarationen.</w:t>
      </w:r>
      <w:r w:rsidR="00BE04D9" w:rsidRPr="008B1737">
        <w:rPr>
          <w:sz w:val="22"/>
          <w:szCs w:val="22"/>
          <w:lang w:val="da-DK"/>
        </w:rPr>
        <w:t xml:space="preserve"> (Hjælp: Antag at vands densitet er 1,00 g/mL og husholdningseddike har samme densitet som vand).</w:t>
      </w:r>
    </w:p>
    <w:p w14:paraId="64F1D88B" w14:textId="2EF8D139" w:rsidR="00C16A30" w:rsidRPr="008B1737" w:rsidRDefault="00E32528" w:rsidP="00EF1AF7">
      <w:pPr>
        <w:pStyle w:val="Lyn1"/>
        <w:numPr>
          <w:ilvl w:val="0"/>
          <w:numId w:val="7"/>
        </w:numPr>
        <w:jc w:val="both"/>
        <w:rPr>
          <w:sz w:val="22"/>
          <w:szCs w:val="22"/>
          <w:lang w:val="da-DK"/>
        </w:rPr>
      </w:pPr>
      <w:r w:rsidRPr="008B1737">
        <w:rPr>
          <w:sz w:val="22"/>
          <w:szCs w:val="22"/>
          <w:lang w:val="da-DK"/>
        </w:rPr>
        <w:t xml:space="preserve">Sammenligning af </w:t>
      </w:r>
      <w:r w:rsidR="001733A6" w:rsidRPr="008B1737">
        <w:rPr>
          <w:sz w:val="22"/>
          <w:szCs w:val="22"/>
          <w:lang w:val="da-DK"/>
        </w:rPr>
        <w:t xml:space="preserve">eddikesyres masseprocent i husholdningseddike bestemt ved henholdsvis </w:t>
      </w:r>
      <w:r w:rsidRPr="008B1737">
        <w:rPr>
          <w:sz w:val="22"/>
          <w:szCs w:val="22"/>
          <w:lang w:val="da-DK"/>
        </w:rPr>
        <w:t>kolorimetrisk og potentiometrisk titrering.</w:t>
      </w:r>
    </w:p>
    <w:p w14:paraId="73940952" w14:textId="1136785E" w:rsidR="009C0B3D" w:rsidRPr="008B1737" w:rsidRDefault="009C0B3D" w:rsidP="00EF1AF7">
      <w:pPr>
        <w:pStyle w:val="Lyn1"/>
        <w:numPr>
          <w:ilvl w:val="0"/>
          <w:numId w:val="0"/>
        </w:numPr>
        <w:ind w:left="720" w:hanging="720"/>
        <w:jc w:val="both"/>
        <w:rPr>
          <w:sz w:val="22"/>
          <w:szCs w:val="22"/>
          <w:lang w:val="da-DK"/>
        </w:rPr>
      </w:pPr>
    </w:p>
    <w:p w14:paraId="71B45F13" w14:textId="757EA7F6" w:rsidR="009C0B3D" w:rsidRDefault="009C0B3D" w:rsidP="00EF1AF7">
      <w:pPr>
        <w:pStyle w:val="Lyn1"/>
        <w:numPr>
          <w:ilvl w:val="0"/>
          <w:numId w:val="0"/>
        </w:numPr>
        <w:ind w:left="720" w:hanging="720"/>
        <w:jc w:val="both"/>
        <w:rPr>
          <w:rFonts w:ascii="Arial" w:hAnsi="Arial" w:cs="Arial"/>
          <w:b/>
          <w:bCs/>
          <w:sz w:val="22"/>
          <w:szCs w:val="22"/>
          <w:lang w:val="da-DK"/>
        </w:rPr>
      </w:pPr>
      <w:r w:rsidRPr="009C0B3D">
        <w:rPr>
          <w:rFonts w:ascii="Arial" w:hAnsi="Arial" w:cs="Arial"/>
          <w:b/>
          <w:bCs/>
          <w:sz w:val="22"/>
          <w:szCs w:val="22"/>
          <w:lang w:val="da-DK"/>
        </w:rPr>
        <w:t>Konklusion</w:t>
      </w:r>
    </w:p>
    <w:p w14:paraId="16FE9084" w14:textId="37D4E782" w:rsidR="00346034" w:rsidRPr="008B1737" w:rsidRDefault="00346034" w:rsidP="00EF1AF7">
      <w:pPr>
        <w:pStyle w:val="Lyn1"/>
        <w:numPr>
          <w:ilvl w:val="0"/>
          <w:numId w:val="0"/>
        </w:numPr>
        <w:ind w:left="720" w:hanging="720"/>
        <w:jc w:val="both"/>
        <w:rPr>
          <w:rFonts w:ascii="Arial" w:hAnsi="Arial" w:cs="Arial"/>
          <w:b/>
          <w:bCs/>
          <w:sz w:val="21"/>
          <w:szCs w:val="21"/>
          <w:lang w:val="da-DK"/>
        </w:rPr>
      </w:pPr>
      <w:r w:rsidRPr="008B1737">
        <w:rPr>
          <w:sz w:val="22"/>
          <w:szCs w:val="22"/>
          <w:lang w:val="da-DK"/>
        </w:rPr>
        <w:lastRenderedPageBreak/>
        <w:t>En kort svar på formålet hvor resultater og afvigelse fra varedeklaration angives.</w:t>
      </w:r>
    </w:p>
    <w:sectPr w:rsidR="00346034" w:rsidRPr="008B1737" w:rsidSect="00D11382">
      <w:footerReference w:type="even" r:id="rId18"/>
      <w:footerReference w:type="default" r:id="rId19"/>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A103F" w14:textId="77777777" w:rsidR="00FE432A" w:rsidRDefault="00FE432A" w:rsidP="00EF1AF7">
      <w:r>
        <w:separator/>
      </w:r>
    </w:p>
  </w:endnote>
  <w:endnote w:type="continuationSeparator" w:id="0">
    <w:p w14:paraId="0FC36066" w14:textId="77777777" w:rsidR="00FE432A" w:rsidRDefault="00FE432A" w:rsidP="00EF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908260338"/>
      <w:docPartObj>
        <w:docPartGallery w:val="Page Numbers (Bottom of Page)"/>
        <w:docPartUnique/>
      </w:docPartObj>
    </w:sdtPr>
    <w:sdtContent>
      <w:p w14:paraId="29CA933D" w14:textId="414CC2EE" w:rsidR="00EF1AF7" w:rsidRDefault="00EF1AF7" w:rsidP="00D1683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8A33F91" w14:textId="77777777" w:rsidR="00EF1AF7" w:rsidRDefault="00EF1AF7" w:rsidP="00EF1AF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658456905"/>
      <w:docPartObj>
        <w:docPartGallery w:val="Page Numbers (Bottom of Page)"/>
        <w:docPartUnique/>
      </w:docPartObj>
    </w:sdtPr>
    <w:sdtContent>
      <w:p w14:paraId="202A64F0" w14:textId="5110D835" w:rsidR="00EF1AF7" w:rsidRDefault="00EF1AF7" w:rsidP="00D1683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35ABF031" w14:textId="77777777" w:rsidR="00EF1AF7" w:rsidRDefault="00EF1AF7" w:rsidP="00EF1AF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97A0D" w14:textId="77777777" w:rsidR="00FE432A" w:rsidRDefault="00FE432A" w:rsidP="00EF1AF7">
      <w:r>
        <w:separator/>
      </w:r>
    </w:p>
  </w:footnote>
  <w:footnote w:type="continuationSeparator" w:id="0">
    <w:p w14:paraId="07875A96" w14:textId="77777777" w:rsidR="00FE432A" w:rsidRDefault="00FE432A" w:rsidP="00EF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Lyn1"/>
      <w:lvlText w:val="%1)"/>
      <w:lvlJc w:val="left"/>
      <w:pPr>
        <w:tabs>
          <w:tab w:val="num" w:pos="1053"/>
        </w:tabs>
      </w:pPr>
      <w:rPr>
        <w:rFonts w:ascii="Times New Roman" w:hAnsi="Times New Roman" w:cs="Times New Roman"/>
        <w:sz w:val="24"/>
        <w:szCs w:val="24"/>
      </w:rPr>
    </w:lvl>
  </w:abstractNum>
  <w:abstractNum w:abstractNumId="1" w15:restartNumberingAfterBreak="0">
    <w:nsid w:val="07783E04"/>
    <w:multiLevelType w:val="hybridMultilevel"/>
    <w:tmpl w:val="833858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3B54A6"/>
    <w:multiLevelType w:val="hybridMultilevel"/>
    <w:tmpl w:val="5B427F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52510E"/>
    <w:multiLevelType w:val="hybridMultilevel"/>
    <w:tmpl w:val="D05E62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8E67110"/>
    <w:multiLevelType w:val="hybridMultilevel"/>
    <w:tmpl w:val="5A0E26AC"/>
    <w:lvl w:ilvl="0" w:tplc="049E6948">
      <w:start w:val="1"/>
      <w:numFmt w:val="decimal"/>
      <w:lvlText w:val="%1."/>
      <w:lvlJc w:val="left"/>
      <w:pPr>
        <w:tabs>
          <w:tab w:val="num" w:pos="720"/>
        </w:tabs>
        <w:ind w:left="720" w:hanging="360"/>
      </w:pPr>
      <w:rPr>
        <w:lang w:val="da-DK"/>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259D34E8"/>
    <w:multiLevelType w:val="hybridMultilevel"/>
    <w:tmpl w:val="B70019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240ECC"/>
    <w:multiLevelType w:val="hybridMultilevel"/>
    <w:tmpl w:val="9410B7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6CF378A"/>
    <w:multiLevelType w:val="hybridMultilevel"/>
    <w:tmpl w:val="C65C5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34C5F8F"/>
    <w:multiLevelType w:val="hybridMultilevel"/>
    <w:tmpl w:val="7A686A94"/>
    <w:lvl w:ilvl="0" w:tplc="C464C042">
      <w:start w:val="1"/>
      <w:numFmt w:val="decimal"/>
      <w:lvlText w:val="%1."/>
      <w:lvlJc w:val="left"/>
      <w:pPr>
        <w:tabs>
          <w:tab w:val="num" w:pos="1080"/>
        </w:tabs>
        <w:ind w:left="1080" w:hanging="360"/>
      </w:pPr>
      <w:rPr>
        <w:rFonts w:hint="default"/>
        <w:color w:val="auto"/>
      </w:r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9" w15:restartNumberingAfterBreak="0">
    <w:nsid w:val="552773D5"/>
    <w:multiLevelType w:val="hybridMultilevel"/>
    <w:tmpl w:val="0A3299A2"/>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75CF4DE3"/>
    <w:multiLevelType w:val="hybridMultilevel"/>
    <w:tmpl w:val="6978A4F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785820C2"/>
    <w:multiLevelType w:val="hybridMultilevel"/>
    <w:tmpl w:val="2F6E03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C0A6B9D"/>
    <w:multiLevelType w:val="hybridMultilevel"/>
    <w:tmpl w:val="829E654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862208687">
    <w:abstractNumId w:val="12"/>
  </w:num>
  <w:num w:numId="2" w16cid:durableId="932476549">
    <w:abstractNumId w:val="9"/>
  </w:num>
  <w:num w:numId="3" w16cid:durableId="605046225">
    <w:abstractNumId w:val="3"/>
  </w:num>
  <w:num w:numId="4" w16cid:durableId="1739399222">
    <w:abstractNumId w:val="10"/>
  </w:num>
  <w:num w:numId="5" w16cid:durableId="420873868">
    <w:abstractNumId w:val="0"/>
    <w:lvlOverride w:ilvl="0">
      <w:startOverride w:val="1"/>
      <w:lvl w:ilvl="0">
        <w:start w:val="1"/>
        <w:numFmt w:val="decimal"/>
        <w:pStyle w:val="Lyn1"/>
        <w:lvlText w:val="%1)"/>
        <w:lvlJc w:val="left"/>
      </w:lvl>
    </w:lvlOverride>
  </w:num>
  <w:num w:numId="6" w16cid:durableId="1649287534">
    <w:abstractNumId w:val="8"/>
  </w:num>
  <w:num w:numId="7" w16cid:durableId="1631596874">
    <w:abstractNumId w:val="4"/>
  </w:num>
  <w:num w:numId="8" w16cid:durableId="1651789007">
    <w:abstractNumId w:val="5"/>
  </w:num>
  <w:num w:numId="9" w16cid:durableId="1966158654">
    <w:abstractNumId w:val="11"/>
  </w:num>
  <w:num w:numId="10" w16cid:durableId="423889787">
    <w:abstractNumId w:val="1"/>
  </w:num>
  <w:num w:numId="11" w16cid:durableId="1185435018">
    <w:abstractNumId w:val="7"/>
  </w:num>
  <w:num w:numId="12" w16cid:durableId="660161736">
    <w:abstractNumId w:val="2"/>
  </w:num>
  <w:num w:numId="13" w16cid:durableId="793520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50"/>
    <w:rsid w:val="00000873"/>
    <w:rsid w:val="00024533"/>
    <w:rsid w:val="00027EA2"/>
    <w:rsid w:val="00034617"/>
    <w:rsid w:val="00035560"/>
    <w:rsid w:val="000373C0"/>
    <w:rsid w:val="000407C8"/>
    <w:rsid w:val="00047BD8"/>
    <w:rsid w:val="00054E87"/>
    <w:rsid w:val="00061097"/>
    <w:rsid w:val="0009667C"/>
    <w:rsid w:val="00097888"/>
    <w:rsid w:val="000A3B72"/>
    <w:rsid w:val="000B1550"/>
    <w:rsid w:val="000C124B"/>
    <w:rsid w:val="000C6E2A"/>
    <w:rsid w:val="000C755E"/>
    <w:rsid w:val="000D3CC4"/>
    <w:rsid w:val="0010433D"/>
    <w:rsid w:val="00105B8B"/>
    <w:rsid w:val="00107999"/>
    <w:rsid w:val="001139B2"/>
    <w:rsid w:val="0013012C"/>
    <w:rsid w:val="00132607"/>
    <w:rsid w:val="001351D4"/>
    <w:rsid w:val="00136C26"/>
    <w:rsid w:val="0014264C"/>
    <w:rsid w:val="001733A6"/>
    <w:rsid w:val="0019329A"/>
    <w:rsid w:val="0019350B"/>
    <w:rsid w:val="001A030F"/>
    <w:rsid w:val="001A2B3E"/>
    <w:rsid w:val="001A3087"/>
    <w:rsid w:val="001A33B4"/>
    <w:rsid w:val="001B1B89"/>
    <w:rsid w:val="001B2051"/>
    <w:rsid w:val="001B7284"/>
    <w:rsid w:val="001E08D1"/>
    <w:rsid w:val="001F6772"/>
    <w:rsid w:val="00210A23"/>
    <w:rsid w:val="00212F28"/>
    <w:rsid w:val="00217958"/>
    <w:rsid w:val="00235D3D"/>
    <w:rsid w:val="00251269"/>
    <w:rsid w:val="002530CE"/>
    <w:rsid w:val="0025682D"/>
    <w:rsid w:val="00256871"/>
    <w:rsid w:val="00256DA8"/>
    <w:rsid w:val="00273F62"/>
    <w:rsid w:val="00283BA3"/>
    <w:rsid w:val="00290901"/>
    <w:rsid w:val="002A487E"/>
    <w:rsid w:val="002A4B2C"/>
    <w:rsid w:val="002A5E30"/>
    <w:rsid w:val="002B0450"/>
    <w:rsid w:val="002B31A5"/>
    <w:rsid w:val="002B53B4"/>
    <w:rsid w:val="002D06E3"/>
    <w:rsid w:val="002E001D"/>
    <w:rsid w:val="002E1787"/>
    <w:rsid w:val="002E1C83"/>
    <w:rsid w:val="002E6222"/>
    <w:rsid w:val="002F19D2"/>
    <w:rsid w:val="002F45CE"/>
    <w:rsid w:val="002F621E"/>
    <w:rsid w:val="00301102"/>
    <w:rsid w:val="00304F62"/>
    <w:rsid w:val="0031206E"/>
    <w:rsid w:val="0031355B"/>
    <w:rsid w:val="00317C61"/>
    <w:rsid w:val="003371E0"/>
    <w:rsid w:val="00346034"/>
    <w:rsid w:val="00346B9B"/>
    <w:rsid w:val="0035145B"/>
    <w:rsid w:val="0035199F"/>
    <w:rsid w:val="00356A50"/>
    <w:rsid w:val="00370668"/>
    <w:rsid w:val="00374336"/>
    <w:rsid w:val="00386375"/>
    <w:rsid w:val="00390204"/>
    <w:rsid w:val="00390D72"/>
    <w:rsid w:val="00391EC1"/>
    <w:rsid w:val="00392E22"/>
    <w:rsid w:val="003B2576"/>
    <w:rsid w:val="003B540F"/>
    <w:rsid w:val="003D22BC"/>
    <w:rsid w:val="003D6768"/>
    <w:rsid w:val="003D7BEC"/>
    <w:rsid w:val="003E070C"/>
    <w:rsid w:val="00404099"/>
    <w:rsid w:val="00405BCE"/>
    <w:rsid w:val="00410A2A"/>
    <w:rsid w:val="00411B3E"/>
    <w:rsid w:val="00426787"/>
    <w:rsid w:val="00432B97"/>
    <w:rsid w:val="004352B0"/>
    <w:rsid w:val="004438C9"/>
    <w:rsid w:val="00453EB5"/>
    <w:rsid w:val="004553B9"/>
    <w:rsid w:val="004674F9"/>
    <w:rsid w:val="00475693"/>
    <w:rsid w:val="00476D7B"/>
    <w:rsid w:val="00490A92"/>
    <w:rsid w:val="0049601B"/>
    <w:rsid w:val="00496CF6"/>
    <w:rsid w:val="004A1F7C"/>
    <w:rsid w:val="004B0C29"/>
    <w:rsid w:val="004B3BD0"/>
    <w:rsid w:val="004B4471"/>
    <w:rsid w:val="004B692A"/>
    <w:rsid w:val="004C7A0F"/>
    <w:rsid w:val="004D6298"/>
    <w:rsid w:val="004D68AB"/>
    <w:rsid w:val="004F307B"/>
    <w:rsid w:val="004F4B85"/>
    <w:rsid w:val="004F5256"/>
    <w:rsid w:val="00502CF8"/>
    <w:rsid w:val="00515457"/>
    <w:rsid w:val="00516A28"/>
    <w:rsid w:val="00520AD0"/>
    <w:rsid w:val="005259C4"/>
    <w:rsid w:val="00540D99"/>
    <w:rsid w:val="00542F79"/>
    <w:rsid w:val="00550072"/>
    <w:rsid w:val="00553391"/>
    <w:rsid w:val="00554BD0"/>
    <w:rsid w:val="00555169"/>
    <w:rsid w:val="00555CCE"/>
    <w:rsid w:val="00561A35"/>
    <w:rsid w:val="00565C36"/>
    <w:rsid w:val="005768E5"/>
    <w:rsid w:val="0058537A"/>
    <w:rsid w:val="00592EE1"/>
    <w:rsid w:val="005B7CA9"/>
    <w:rsid w:val="005C4923"/>
    <w:rsid w:val="005D487B"/>
    <w:rsid w:val="005D48F2"/>
    <w:rsid w:val="005D7118"/>
    <w:rsid w:val="005E29E7"/>
    <w:rsid w:val="005E34CD"/>
    <w:rsid w:val="005E6D93"/>
    <w:rsid w:val="00601C46"/>
    <w:rsid w:val="00612980"/>
    <w:rsid w:val="00613A79"/>
    <w:rsid w:val="00616072"/>
    <w:rsid w:val="00652354"/>
    <w:rsid w:val="0067295B"/>
    <w:rsid w:val="006B3798"/>
    <w:rsid w:val="006C1584"/>
    <w:rsid w:val="006C7157"/>
    <w:rsid w:val="006E35C9"/>
    <w:rsid w:val="006F615F"/>
    <w:rsid w:val="007044D3"/>
    <w:rsid w:val="00705398"/>
    <w:rsid w:val="007055BE"/>
    <w:rsid w:val="007230F7"/>
    <w:rsid w:val="00762040"/>
    <w:rsid w:val="0076492C"/>
    <w:rsid w:val="0076603B"/>
    <w:rsid w:val="00780BF5"/>
    <w:rsid w:val="00785BE4"/>
    <w:rsid w:val="0078735D"/>
    <w:rsid w:val="007A68E6"/>
    <w:rsid w:val="007B521D"/>
    <w:rsid w:val="007B58F9"/>
    <w:rsid w:val="007D2562"/>
    <w:rsid w:val="007E1EBE"/>
    <w:rsid w:val="007E388F"/>
    <w:rsid w:val="007F4C0B"/>
    <w:rsid w:val="00810F7F"/>
    <w:rsid w:val="00811D20"/>
    <w:rsid w:val="00823D19"/>
    <w:rsid w:val="00836E67"/>
    <w:rsid w:val="0084669F"/>
    <w:rsid w:val="00866D1A"/>
    <w:rsid w:val="0087542F"/>
    <w:rsid w:val="00893C0A"/>
    <w:rsid w:val="008B1737"/>
    <w:rsid w:val="008B2D7B"/>
    <w:rsid w:val="008C3A22"/>
    <w:rsid w:val="008C4C22"/>
    <w:rsid w:val="008D2266"/>
    <w:rsid w:val="008E6625"/>
    <w:rsid w:val="00906047"/>
    <w:rsid w:val="0091188C"/>
    <w:rsid w:val="009127AD"/>
    <w:rsid w:val="00913C33"/>
    <w:rsid w:val="009444C6"/>
    <w:rsid w:val="009538B1"/>
    <w:rsid w:val="009676CF"/>
    <w:rsid w:val="009719EE"/>
    <w:rsid w:val="009763CB"/>
    <w:rsid w:val="00993D6E"/>
    <w:rsid w:val="009A1437"/>
    <w:rsid w:val="009C0B3D"/>
    <w:rsid w:val="009F6516"/>
    <w:rsid w:val="009F7C07"/>
    <w:rsid w:val="00A24198"/>
    <w:rsid w:val="00A370B9"/>
    <w:rsid w:val="00A603FA"/>
    <w:rsid w:val="00A71D49"/>
    <w:rsid w:val="00AA6D0D"/>
    <w:rsid w:val="00AA6F59"/>
    <w:rsid w:val="00AD0D7F"/>
    <w:rsid w:val="00AE0B95"/>
    <w:rsid w:val="00AE49FA"/>
    <w:rsid w:val="00AE5798"/>
    <w:rsid w:val="00B1181B"/>
    <w:rsid w:val="00B142E8"/>
    <w:rsid w:val="00B208DD"/>
    <w:rsid w:val="00B43754"/>
    <w:rsid w:val="00B54941"/>
    <w:rsid w:val="00B91693"/>
    <w:rsid w:val="00B959B5"/>
    <w:rsid w:val="00BA68C5"/>
    <w:rsid w:val="00BA6DC2"/>
    <w:rsid w:val="00BB5436"/>
    <w:rsid w:val="00BB6EAD"/>
    <w:rsid w:val="00BE04D9"/>
    <w:rsid w:val="00BE2A62"/>
    <w:rsid w:val="00BF16D4"/>
    <w:rsid w:val="00C077D1"/>
    <w:rsid w:val="00C16A30"/>
    <w:rsid w:val="00C201C8"/>
    <w:rsid w:val="00C21B9B"/>
    <w:rsid w:val="00C26C52"/>
    <w:rsid w:val="00C41E2F"/>
    <w:rsid w:val="00C7725F"/>
    <w:rsid w:val="00C83650"/>
    <w:rsid w:val="00C8520D"/>
    <w:rsid w:val="00C965FE"/>
    <w:rsid w:val="00CA7F90"/>
    <w:rsid w:val="00CB76F4"/>
    <w:rsid w:val="00CC204E"/>
    <w:rsid w:val="00CD089D"/>
    <w:rsid w:val="00CD2812"/>
    <w:rsid w:val="00CD3F53"/>
    <w:rsid w:val="00CE230B"/>
    <w:rsid w:val="00CE3C3B"/>
    <w:rsid w:val="00D04C70"/>
    <w:rsid w:val="00D0660E"/>
    <w:rsid w:val="00D11382"/>
    <w:rsid w:val="00D140E8"/>
    <w:rsid w:val="00D236DB"/>
    <w:rsid w:val="00D25D6C"/>
    <w:rsid w:val="00D32711"/>
    <w:rsid w:val="00D43708"/>
    <w:rsid w:val="00D813EC"/>
    <w:rsid w:val="00D9713A"/>
    <w:rsid w:val="00DA46E1"/>
    <w:rsid w:val="00DC6725"/>
    <w:rsid w:val="00DD5D8E"/>
    <w:rsid w:val="00DF459C"/>
    <w:rsid w:val="00E00442"/>
    <w:rsid w:val="00E22FEA"/>
    <w:rsid w:val="00E32528"/>
    <w:rsid w:val="00E41BA3"/>
    <w:rsid w:val="00E427D0"/>
    <w:rsid w:val="00E47D15"/>
    <w:rsid w:val="00E60FA1"/>
    <w:rsid w:val="00E61ECA"/>
    <w:rsid w:val="00E640AB"/>
    <w:rsid w:val="00E6440F"/>
    <w:rsid w:val="00E715B3"/>
    <w:rsid w:val="00E733AA"/>
    <w:rsid w:val="00E80306"/>
    <w:rsid w:val="00E92C13"/>
    <w:rsid w:val="00EA51E1"/>
    <w:rsid w:val="00EC0566"/>
    <w:rsid w:val="00EC3C7D"/>
    <w:rsid w:val="00ED49FC"/>
    <w:rsid w:val="00EE3C7C"/>
    <w:rsid w:val="00EE5570"/>
    <w:rsid w:val="00EF1AF7"/>
    <w:rsid w:val="00EF2F4D"/>
    <w:rsid w:val="00EF2FD4"/>
    <w:rsid w:val="00EF532E"/>
    <w:rsid w:val="00F131B4"/>
    <w:rsid w:val="00F77694"/>
    <w:rsid w:val="00F8744D"/>
    <w:rsid w:val="00F94612"/>
    <w:rsid w:val="00F95CB7"/>
    <w:rsid w:val="00FA3092"/>
    <w:rsid w:val="00FC0476"/>
    <w:rsid w:val="00FD14E1"/>
    <w:rsid w:val="00FD1A68"/>
    <w:rsid w:val="00FE1EFA"/>
    <w:rsid w:val="00FE432A"/>
    <w:rsid w:val="00FF00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C3700"/>
  <w15:docId w15:val="{0E8A4E8C-7BD6-4629-8AFA-0015A3B0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266"/>
    <w:pPr>
      <w:widowControl w:val="0"/>
      <w:autoSpaceDE w:val="0"/>
      <w:autoSpaceDN w:val="0"/>
      <w:adjustRightInd w:val="0"/>
    </w:pPr>
    <w:rPr>
      <w:rFonts w:asciiTheme="minorHAnsi" w:hAnsiTheme="minorHAnsi"/>
      <w:sz w:val="22"/>
      <w:szCs w:val="24"/>
    </w:rPr>
  </w:style>
  <w:style w:type="paragraph" w:styleId="Overskrift1">
    <w:name w:val="heading 1"/>
    <w:basedOn w:val="Normal"/>
    <w:next w:val="Normal"/>
    <w:qFormat/>
    <w:rsid w:val="002D06E3"/>
    <w:pPr>
      <w:keepNext/>
      <w:spacing w:before="240" w:after="60"/>
      <w:outlineLvl w:val="0"/>
    </w:pPr>
    <w:rPr>
      <w:rFonts w:ascii="Arial" w:hAnsi="Arial" w:cs="Arial"/>
      <w:b/>
      <w:bCs/>
      <w:kern w:val="32"/>
      <w:sz w:val="32"/>
      <w:szCs w:val="32"/>
    </w:rPr>
  </w:style>
  <w:style w:type="paragraph" w:styleId="Overskrift3">
    <w:name w:val="heading 3"/>
    <w:basedOn w:val="Normal"/>
    <w:next w:val="Normal"/>
    <w:qFormat/>
    <w:rsid w:val="00C16A30"/>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rsid w:val="00652354"/>
    <w:pPr>
      <w:spacing w:before="360" w:after="360"/>
    </w:pPr>
    <w:rPr>
      <w:rFonts w:ascii="Arial" w:hAnsi="Arial"/>
      <w:b/>
      <w:bCs/>
      <w:szCs w:val="22"/>
    </w:rPr>
  </w:style>
  <w:style w:type="paragraph" w:styleId="Indholdsfortegnelse3">
    <w:name w:val="toc 3"/>
    <w:basedOn w:val="Normal"/>
    <w:next w:val="Normal"/>
    <w:autoRedefine/>
    <w:semiHidden/>
    <w:rsid w:val="00652354"/>
    <w:rPr>
      <w:rFonts w:ascii="Arial" w:hAnsi="Arial"/>
      <w:b/>
      <w:szCs w:val="22"/>
    </w:rPr>
  </w:style>
  <w:style w:type="paragraph" w:customStyle="1" w:styleId="Typografi1">
    <w:name w:val="Typografi1"/>
    <w:basedOn w:val="Overskrift1"/>
    <w:autoRedefine/>
    <w:rsid w:val="002D06E3"/>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spacing w:before="0" w:after="0"/>
      <w:jc w:val="center"/>
    </w:pPr>
    <w:rPr>
      <w:rFonts w:cs="Times New Roman"/>
      <w:kern w:val="0"/>
      <w:sz w:val="28"/>
      <w:szCs w:val="28"/>
    </w:rPr>
  </w:style>
  <w:style w:type="paragraph" w:styleId="Brdtekst">
    <w:name w:val="Body Text"/>
    <w:basedOn w:val="Normal"/>
    <w:rsid w:val="00C16A30"/>
  </w:style>
  <w:style w:type="paragraph" w:customStyle="1" w:styleId="Typografi3">
    <w:name w:val="Typografi3"/>
    <w:basedOn w:val="Normal"/>
    <w:rsid w:val="007055BE"/>
    <w:rPr>
      <w:lang w:val="en-US"/>
    </w:rPr>
  </w:style>
  <w:style w:type="paragraph" w:customStyle="1" w:styleId="Lyn1">
    <w:name w:val="Lyn1)"/>
    <w:basedOn w:val="Normal"/>
    <w:rsid w:val="00C16A30"/>
    <w:pPr>
      <w:numPr>
        <w:numId w:val="5"/>
      </w:numPr>
      <w:ind w:left="720" w:hanging="720"/>
    </w:pPr>
    <w:rPr>
      <w:sz w:val="20"/>
      <w:lang w:val="en-US"/>
    </w:rPr>
  </w:style>
  <w:style w:type="paragraph" w:styleId="Listeafsnit">
    <w:name w:val="List Paragraph"/>
    <w:basedOn w:val="Normal"/>
    <w:uiPriority w:val="34"/>
    <w:qFormat/>
    <w:rsid w:val="00616072"/>
    <w:pPr>
      <w:ind w:left="720"/>
      <w:contextualSpacing/>
    </w:pPr>
  </w:style>
  <w:style w:type="table" w:styleId="Tabel-Gitter">
    <w:name w:val="Table Grid"/>
    <w:basedOn w:val="Tabel-Normal"/>
    <w:rsid w:val="0061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555CCE"/>
    <w:rPr>
      <w:rFonts w:ascii="Tahoma" w:hAnsi="Tahoma" w:cs="Tahoma"/>
      <w:sz w:val="16"/>
      <w:szCs w:val="16"/>
    </w:rPr>
  </w:style>
  <w:style w:type="character" w:customStyle="1" w:styleId="MarkeringsbobletekstTegn">
    <w:name w:val="Markeringsbobletekst Tegn"/>
    <w:basedOn w:val="Standardskrifttypeiafsnit"/>
    <w:link w:val="Markeringsbobletekst"/>
    <w:rsid w:val="00555CCE"/>
    <w:rPr>
      <w:rFonts w:ascii="Tahoma" w:hAnsi="Tahoma" w:cs="Tahoma"/>
      <w:sz w:val="16"/>
      <w:szCs w:val="16"/>
    </w:rPr>
  </w:style>
  <w:style w:type="character" w:styleId="Pladsholdertekst">
    <w:name w:val="Placeholder Text"/>
    <w:basedOn w:val="Standardskrifttypeiafsnit"/>
    <w:uiPriority w:val="99"/>
    <w:semiHidden/>
    <w:rsid w:val="008D2266"/>
    <w:rPr>
      <w:color w:val="808080"/>
    </w:rPr>
  </w:style>
  <w:style w:type="character" w:styleId="Hyperlink">
    <w:name w:val="Hyperlink"/>
    <w:basedOn w:val="Standardskrifttypeiafsnit"/>
    <w:unhideWhenUsed/>
    <w:rsid w:val="00027EA2"/>
    <w:rPr>
      <w:color w:val="0000FF" w:themeColor="hyperlink"/>
      <w:u w:val="single"/>
    </w:rPr>
  </w:style>
  <w:style w:type="character" w:styleId="Ulstomtale">
    <w:name w:val="Unresolved Mention"/>
    <w:basedOn w:val="Standardskrifttypeiafsnit"/>
    <w:uiPriority w:val="99"/>
    <w:semiHidden/>
    <w:unhideWhenUsed/>
    <w:rsid w:val="00027EA2"/>
    <w:rPr>
      <w:color w:val="605E5C"/>
      <w:shd w:val="clear" w:color="auto" w:fill="E1DFDD"/>
    </w:rPr>
  </w:style>
  <w:style w:type="paragraph" w:styleId="Sidefod">
    <w:name w:val="footer"/>
    <w:basedOn w:val="Normal"/>
    <w:link w:val="SidefodTegn"/>
    <w:unhideWhenUsed/>
    <w:rsid w:val="00EF1AF7"/>
    <w:pPr>
      <w:tabs>
        <w:tab w:val="center" w:pos="4819"/>
        <w:tab w:val="right" w:pos="9638"/>
      </w:tabs>
    </w:pPr>
  </w:style>
  <w:style w:type="character" w:customStyle="1" w:styleId="SidefodTegn">
    <w:name w:val="Sidefod Tegn"/>
    <w:basedOn w:val="Standardskrifttypeiafsnit"/>
    <w:link w:val="Sidefod"/>
    <w:rsid w:val="00EF1AF7"/>
    <w:rPr>
      <w:rFonts w:asciiTheme="minorHAnsi" w:hAnsiTheme="minorHAnsi"/>
      <w:sz w:val="22"/>
      <w:szCs w:val="24"/>
    </w:rPr>
  </w:style>
  <w:style w:type="character" w:styleId="Sidetal">
    <w:name w:val="page number"/>
    <w:basedOn w:val="Standardskrifttypeiafsnit"/>
    <w:semiHidden/>
    <w:unhideWhenUsed/>
    <w:rsid w:val="00EF1AF7"/>
  </w:style>
  <w:style w:type="character" w:styleId="BesgtLink">
    <w:name w:val="FollowedHyperlink"/>
    <w:basedOn w:val="Standardskrifttypeiafsnit"/>
    <w:semiHidden/>
    <w:unhideWhenUsed/>
    <w:rsid w:val="00FF0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rive.google.com/file/d/15IgVeARIkh_DaZKUFf6_Vc04kAUoBbHK/view?usp=sharin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54D101555651E46BDCF4A76DAFBDAE2" ma:contentTypeVersion="2" ma:contentTypeDescription="Opret et nyt dokument." ma:contentTypeScope="" ma:versionID="4f799f1b4f6d3124237580aa626cc347">
  <xsd:schema xmlns:xsd="http://www.w3.org/2001/XMLSchema" xmlns:xs="http://www.w3.org/2001/XMLSchema" xmlns:p="http://schemas.microsoft.com/office/2006/metadata/properties" xmlns:ns2="84194c36-a0d5-4d25-8f27-c6bfd7d2c546" targetNamespace="http://schemas.microsoft.com/office/2006/metadata/properties" ma:root="true" ma:fieldsID="cc86603272995191c8208911809b49fa" ns2:_="">
    <xsd:import namespace="84194c36-a0d5-4d25-8f27-c6bfd7d2c54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4c36-a0d5-4d25-8f27-c6bfd7d2c546"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CB63F-258B-48A6-B6A2-955C767A9E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314E5-5BC9-41B4-AF42-DEF8D3CB39D4}">
  <ds:schemaRefs>
    <ds:schemaRef ds:uri="http://schemas.microsoft.com/sharepoint/v3/contenttype/forms"/>
  </ds:schemaRefs>
</ds:datastoreItem>
</file>

<file path=customXml/itemProps3.xml><?xml version="1.0" encoding="utf-8"?>
<ds:datastoreItem xmlns:ds="http://schemas.openxmlformats.org/officeDocument/2006/customXml" ds:itemID="{B733FF98-4EE5-CD43-9200-0B53641E5A22}">
  <ds:schemaRefs>
    <ds:schemaRef ds:uri="http://schemas.openxmlformats.org/officeDocument/2006/bibliography"/>
  </ds:schemaRefs>
</ds:datastoreItem>
</file>

<file path=customXml/itemProps4.xml><?xml version="1.0" encoding="utf-8"?>
<ds:datastoreItem xmlns:ds="http://schemas.openxmlformats.org/officeDocument/2006/customXml" ds:itemID="{D637B527-8809-48F9-85B7-FA2ACDD2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4c36-a0d5-4d25-8f27-c6bfd7d2c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1499</Words>
  <Characters>9145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Husholdningseddike: Kolorimetrisk og potentiometrisk titrering</vt:lpstr>
    </vt:vector>
  </TitlesOfParts>
  <Company>Roskilde Amt</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Husholdningseddike: Kolorimetrisk og potentiometrisk titrering</dc:title>
  <dc:creator>Administrator</dc:creator>
  <cp:lastModifiedBy>Anders Almlund Osted</cp:lastModifiedBy>
  <cp:revision>5</cp:revision>
  <cp:lastPrinted>2016-11-28T08:51:00Z</cp:lastPrinted>
  <dcterms:created xsi:type="dcterms:W3CDTF">2024-12-02T09:46:00Z</dcterms:created>
  <dcterms:modified xsi:type="dcterms:W3CDTF">2024-12-02T09:52:00Z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0x010100354D101555651E46BDCF4A76DAFBDAE2</vt:lpwstr>
  </property>
</Properties>
</file>