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F30" w:rsidRPr="00D06F30" w:rsidRDefault="00D06F30" w:rsidP="00D06F30">
      <w:pPr>
        <w:rPr>
          <w:b/>
        </w:rPr>
      </w:pPr>
      <w:r>
        <w:rPr>
          <w:b/>
        </w:rPr>
        <w:t xml:space="preserve">Opgave </w:t>
      </w:r>
    </w:p>
    <w:p w:rsidR="00D06F30" w:rsidRDefault="00D06F30" w:rsidP="00D06F30">
      <w:r>
        <w:t xml:space="preserve">Undersøg diagrammet om former for børnepasning af børn, fra 3 år og nedefter, i EU. OBS Træk det større så du kan aflæse det. </w:t>
      </w:r>
    </w:p>
    <w:p w:rsidR="00D06F30" w:rsidRDefault="00D06F30" w:rsidP="00D06F30">
      <w:pPr>
        <w:pStyle w:val="Listeafsnit"/>
        <w:numPr>
          <w:ilvl w:val="0"/>
          <w:numId w:val="1"/>
        </w:numPr>
      </w:pPr>
      <w:r>
        <w:t>Start med at sikre dig, at du forstår den engelske forklaringen af de to farvers betydning.</w:t>
      </w:r>
      <w:r>
        <w:br/>
      </w:r>
    </w:p>
    <w:p w:rsidR="00D06F30" w:rsidRDefault="00D06F30" w:rsidP="00D06F30">
      <w:pPr>
        <w:pStyle w:val="Listeafsnit"/>
        <w:numPr>
          <w:ilvl w:val="0"/>
          <w:numId w:val="1"/>
        </w:numPr>
      </w:pPr>
      <w:r>
        <w:t xml:space="preserve">Hvilken farve er udtryk for </w:t>
      </w:r>
      <w:r>
        <w:rPr>
          <w:i/>
        </w:rPr>
        <w:t>primær socialisering</w:t>
      </w:r>
      <w:r>
        <w:t xml:space="preserve"> og hvilken er udtryk for </w:t>
      </w:r>
      <w:r>
        <w:rPr>
          <w:i/>
        </w:rPr>
        <w:t xml:space="preserve">sekundær socialisering? </w:t>
      </w:r>
      <w:r>
        <w:t xml:space="preserve"> </w:t>
      </w:r>
      <w:r>
        <w:br/>
      </w:r>
    </w:p>
    <w:p w:rsidR="00D06F30" w:rsidRDefault="00D06F30" w:rsidP="00D06F30">
      <w:pPr>
        <w:pStyle w:val="Listeafsnit"/>
        <w:numPr>
          <w:ilvl w:val="0"/>
          <w:numId w:val="1"/>
        </w:numPr>
      </w:pPr>
      <w:r>
        <w:t xml:space="preserve">Find (1) eksempler på lande, hvor børnene i høj grad primær socialiseres op til 3-års alderen og (2) eksempler på lande, hvor børnene i høj grad dobbeltsocialiseres op til 3-års alderen. </w:t>
      </w:r>
      <w:r>
        <w:br/>
      </w:r>
      <w:bookmarkStart w:id="0" w:name="_GoBack"/>
      <w:bookmarkEnd w:id="0"/>
    </w:p>
    <w:p w:rsidR="00D06F30" w:rsidRDefault="00D06F30" w:rsidP="00D06F30">
      <w:pPr>
        <w:pStyle w:val="Listeafsnit"/>
        <w:numPr>
          <w:ilvl w:val="0"/>
          <w:numId w:val="1"/>
        </w:numPr>
      </w:pPr>
      <w:r>
        <w:t>Overvej, hvad disse forskelle kan skyldes?</w:t>
      </w:r>
    </w:p>
    <w:p w:rsidR="00D06F30" w:rsidRDefault="00D06F30" w:rsidP="00D06F30">
      <w:r>
        <w:rPr>
          <w:noProof/>
        </w:rPr>
        <w:drawing>
          <wp:inline distT="0" distB="0" distL="0" distR="0">
            <wp:extent cx="4889500" cy="3778250"/>
            <wp:effectExtent l="0" t="0" r="635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F30" w:rsidRDefault="00D06F30" w:rsidP="00D06F30">
      <w:pPr>
        <w:rPr>
          <w:i/>
        </w:rPr>
      </w:pPr>
      <w:proofErr w:type="spellStart"/>
      <w:r>
        <w:rPr>
          <w:i/>
        </w:rPr>
        <w:t>Kilde:Europakommissionen</w:t>
      </w:r>
      <w:proofErr w:type="spellEnd"/>
      <w:r>
        <w:rPr>
          <w:i/>
        </w:rPr>
        <w:t xml:space="preserve"> (Eurostat) </w:t>
      </w:r>
      <w:hyperlink r:id="rId6" w:history="1">
        <w:r>
          <w:rPr>
            <w:rStyle w:val="Hyperlink"/>
            <w:i/>
          </w:rPr>
          <w:t>https://ec.europa.eu/eurostat/web/products-eurostat-news/-/ddn-20220504-2</w:t>
        </w:r>
      </w:hyperlink>
      <w:r>
        <w:rPr>
          <w:i/>
        </w:rPr>
        <w:t xml:space="preserve">, </w:t>
      </w:r>
    </w:p>
    <w:p w:rsidR="007B0501" w:rsidRDefault="007B0501"/>
    <w:sectPr w:rsidR="007B050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D6C52"/>
    <w:multiLevelType w:val="hybridMultilevel"/>
    <w:tmpl w:val="92F41F6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F30"/>
    <w:rsid w:val="007B0501"/>
    <w:rsid w:val="00D0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43917"/>
  <w15:chartTrackingRefBased/>
  <w15:docId w15:val="{955C43B2-C89F-4C69-9D89-8AAAF9E5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F30"/>
    <w:pPr>
      <w:spacing w:line="256" w:lineRule="auto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D06F30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D06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eurostat/web/products-eurostat-news/-/ddn-20220504-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Berthelsen</dc:creator>
  <cp:keywords/>
  <dc:description/>
  <cp:lastModifiedBy>Dea Berthelsen</cp:lastModifiedBy>
  <cp:revision>1</cp:revision>
  <dcterms:created xsi:type="dcterms:W3CDTF">2023-11-24T08:47:00Z</dcterms:created>
  <dcterms:modified xsi:type="dcterms:W3CDTF">2023-11-24T08:48:00Z</dcterms:modified>
</cp:coreProperties>
</file>