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A48" w:rsidRDefault="000F6A48" w:rsidP="00A2200E">
      <w:pPr>
        <w:pStyle w:val="Overskrift1"/>
      </w:pPr>
      <w:r>
        <w:t>Modul 2 – Hitlers vej til magten.</w:t>
      </w:r>
      <w:r w:rsidR="00A976E2" w:rsidRPr="00A976E2">
        <w:t xml:space="preserve"> </w:t>
      </w:r>
      <w:r w:rsidR="00A976E2">
        <w:t xml:space="preserve"> </w:t>
      </w:r>
      <w:r w:rsidR="00A976E2">
        <w:tab/>
      </w:r>
      <w:r w:rsidR="00A976E2">
        <w:tab/>
      </w:r>
    </w:p>
    <w:p w:rsidR="000F6A48" w:rsidRDefault="000F6A48"/>
    <w:p w:rsidR="000F6A48" w:rsidRPr="00A2200E" w:rsidRDefault="000F6A48">
      <w:pPr>
        <w:rPr>
          <w:i/>
        </w:rPr>
      </w:pPr>
      <w:r w:rsidRPr="00A2200E">
        <w:rPr>
          <w:i/>
        </w:rPr>
        <w:t>Dagens fokus: Hvorfor fik NSDAP magten i Tyskland?</w:t>
      </w:r>
      <w:r w:rsidR="00A976E2">
        <w:rPr>
          <w:i/>
        </w:rPr>
        <w:t xml:space="preserve">                                       </w:t>
      </w:r>
      <w:r w:rsidRPr="00A2200E">
        <w:rPr>
          <w:i/>
        </w:rPr>
        <w:t xml:space="preserve"> </w:t>
      </w:r>
    </w:p>
    <w:p w:rsidR="000F6A48" w:rsidRDefault="000F6A48"/>
    <w:p w:rsidR="000F6A48" w:rsidRDefault="000F6A48">
      <w:r>
        <w:t>Lektie: s. 1-6 i kompendiet (Kap. 1 i Nazisme og holocaust.</w:t>
      </w:r>
    </w:p>
    <w:p w:rsidR="000F6A48" w:rsidRDefault="000F6A48" w:rsidP="000F6A48">
      <w:pPr>
        <w:autoSpaceDE w:val="0"/>
        <w:autoSpaceDN w:val="0"/>
        <w:adjustRightInd w:val="0"/>
        <w:spacing w:after="0" w:line="240" w:lineRule="auto"/>
      </w:pPr>
      <w:r>
        <w:t xml:space="preserve">Spørgsmål: </w:t>
      </w:r>
    </w:p>
    <w:p w:rsidR="000F6A48" w:rsidRDefault="000F6A48" w:rsidP="000F6A48">
      <w:pPr>
        <w:pStyle w:val="Listeafsnit"/>
        <w:numPr>
          <w:ilvl w:val="0"/>
          <w:numId w:val="1"/>
        </w:numPr>
        <w:autoSpaceDE w:val="0"/>
        <w:autoSpaceDN w:val="0"/>
        <w:adjustRightInd w:val="0"/>
        <w:spacing w:after="0" w:line="240" w:lineRule="auto"/>
      </w:pPr>
      <w:r>
        <w:t xml:space="preserve">Hvilke 2 begivenheder i begyndelsen af 1900-tallet var afgørende for forholdene i Tyskland i 1930’erne? </w:t>
      </w:r>
    </w:p>
    <w:p w:rsidR="000F6A48" w:rsidRDefault="000F6A48" w:rsidP="000F6A48">
      <w:pPr>
        <w:pStyle w:val="Listeafsnit"/>
        <w:numPr>
          <w:ilvl w:val="0"/>
          <w:numId w:val="1"/>
        </w:numPr>
        <w:autoSpaceDE w:val="0"/>
        <w:autoSpaceDN w:val="0"/>
        <w:adjustRightInd w:val="0"/>
        <w:spacing w:after="0" w:line="240" w:lineRule="auto"/>
      </w:pPr>
      <w:r>
        <w:t xml:space="preserve">Nævn 2 eller 3 tin som var de vigtigste i nazistpartiet </w:t>
      </w:r>
      <w:proofErr w:type="spellStart"/>
      <w:r>
        <w:t>NSDAP’s</w:t>
      </w:r>
      <w:proofErr w:type="spellEnd"/>
      <w:r>
        <w:t xml:space="preserve"> program.</w:t>
      </w:r>
    </w:p>
    <w:p w:rsidR="000F6A48" w:rsidRDefault="000F6A48" w:rsidP="000F6A48">
      <w:pPr>
        <w:pStyle w:val="Listeafsnit"/>
        <w:numPr>
          <w:ilvl w:val="0"/>
          <w:numId w:val="1"/>
        </w:numPr>
        <w:autoSpaceDE w:val="0"/>
        <w:autoSpaceDN w:val="0"/>
        <w:adjustRightInd w:val="0"/>
        <w:spacing w:after="0" w:line="240" w:lineRule="auto"/>
      </w:pPr>
      <w:r>
        <w:t>Hvad var i starten formålet med SA og SS?</w:t>
      </w:r>
    </w:p>
    <w:p w:rsidR="000F6A48" w:rsidRDefault="000F6A48" w:rsidP="000F6A48">
      <w:pPr>
        <w:pStyle w:val="Listeafsnit"/>
        <w:numPr>
          <w:ilvl w:val="0"/>
          <w:numId w:val="1"/>
        </w:numPr>
        <w:autoSpaceDE w:val="0"/>
        <w:autoSpaceDN w:val="0"/>
        <w:adjustRightInd w:val="0"/>
        <w:spacing w:after="0" w:line="240" w:lineRule="auto"/>
      </w:pPr>
      <w:r>
        <w:t>Hvordan afskaffede nazisterne demokratiet efter magtovertagelsen i 1933?</w:t>
      </w:r>
    </w:p>
    <w:p w:rsidR="000F6A48" w:rsidRDefault="000F6A48" w:rsidP="000F6A48"/>
    <w:p w:rsidR="000F6A48" w:rsidRDefault="000F6A48" w:rsidP="000F6A48"/>
    <w:p w:rsidR="000F6A48" w:rsidRDefault="000F6A48" w:rsidP="000F6A48">
      <w:pPr>
        <w:pStyle w:val="Overskrift2"/>
      </w:pPr>
      <w:r>
        <w:t xml:space="preserve">Sekvens 1 – Opsamling </w:t>
      </w:r>
      <w:r w:rsidR="00A2200E">
        <w:t>fra sidst</w:t>
      </w:r>
    </w:p>
    <w:p w:rsidR="000F6A48" w:rsidRDefault="000F6A48" w:rsidP="000F6A48">
      <w:r>
        <w:br/>
        <w:t xml:space="preserve">Vi gennemgår kort jeres arbejde om ’kvinderne fra </w:t>
      </w:r>
      <w:proofErr w:type="spellStart"/>
      <w:r>
        <w:t>Mizocz</w:t>
      </w:r>
      <w:proofErr w:type="spellEnd"/>
      <w:r>
        <w:t xml:space="preserve">’ fra sidste modul. </w:t>
      </w:r>
    </w:p>
    <w:p w:rsidR="000F6A48" w:rsidRDefault="000F6A48" w:rsidP="000F6A48"/>
    <w:p w:rsidR="000F6A48" w:rsidRPr="000F6A48" w:rsidRDefault="000F6A48" w:rsidP="000F6A48">
      <w:r>
        <w:rPr>
          <w:noProof/>
          <w:lang w:eastAsia="da-DK"/>
        </w:rPr>
        <w:drawing>
          <wp:inline distT="0" distB="0" distL="0" distR="0" wp14:anchorId="4E073150" wp14:editId="04FBBA75">
            <wp:extent cx="2449896" cy="1547446"/>
            <wp:effectExtent l="0" t="0" r="7620" b="0"/>
            <wp:docPr id="1" name="Billede 1" descr="Naked Jewish women, some of whom are holding infants, wait in a line before their execution by German Sipo and SD, with the assistance of Ukrainian auxiliaries.&#10;&#10;According to the Zentrale Stelle in Germany (Zst. II 204 AR 1218/70), these Jews were collected by the German Gendarmerie and Ukrainian Schutzmannschaft during the liquidation of the Mizocz ghetto, which held roughly 1,700 Jews.  On the eve of the ghetto's liquidation (13 October 1942), some of the inhabitants rose up against the Germans and were defeated after a short battle.  The remaining members of the community were transported from the ghetto to this ravine in the Sdolbunov Gebietskommissariat, south of Rovno, where they were executed.  Information regarding this action, including the photos, were acquired from a man named Hille, who was the Bezirks-Oberwachtmeister of the Gendarmerie at the time.  Hille apparently gave the five photos (there were originally seven) to the company lawyer of a textile firm in Kunert, Czechoslovakia, where he worked as a doorman after the war.  The Czech government confiscated the photos from the lawyer in 1946 and they subsequently became public.  That the photos indeed show the shooting of Jews in connection with the liquidation of the ghetto was also confirmed by a statement of Gendarmerie-Gebietsfuehrer Josef Paur in 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ked Jewish women, some of whom are holding infants, wait in a line before their execution by German Sipo and SD, with the assistance of Ukrainian auxiliaries.&#10;&#10;According to the Zentrale Stelle in Germany (Zst. II 204 AR 1218/70), these Jews were collected by the German Gendarmerie and Ukrainian Schutzmannschaft during the liquidation of the Mizocz ghetto, which held roughly 1,700 Jews.  On the eve of the ghetto's liquidation (13 October 1942), some of the inhabitants rose up against the Germans and were defeated after a short battle.  The remaining members of the community were transported from the ghetto to this ravine in the Sdolbunov Gebietskommissariat, south of Rovno, where they were executed.  Information regarding this action, including the photos, were acquired from a man named Hille, who was the Bezirks-Oberwachtmeister of the Gendarmerie at the time.  Hille apparently gave the five photos (there were originally seven) to the company lawyer of a textile firm in Kunert, Czechoslovakia, where he worked as a doorman after the war.  The Czech government confiscated the photos from the lawyer in 1946 and they subsequently became public.  That the photos indeed show the shooting of Jews in connection with the liquidation of the ghetto was also confirmed by a statement of Gendarmerie-Gebietsfuehrer Josef Paur in 19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59218" cy="1553334"/>
                    </a:xfrm>
                    <a:prstGeom prst="rect">
                      <a:avLst/>
                    </a:prstGeom>
                    <a:noFill/>
                    <a:ln>
                      <a:noFill/>
                    </a:ln>
                  </pic:spPr>
                </pic:pic>
              </a:graphicData>
            </a:graphic>
          </wp:inline>
        </w:drawing>
      </w:r>
      <w:r>
        <w:br/>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928"/>
        <w:gridCol w:w="1701"/>
      </w:tblGrid>
      <w:tr w:rsidR="000F6A48" w:rsidTr="00A976E2">
        <w:trPr>
          <w:trHeight w:val="363"/>
        </w:trPr>
        <w:tc>
          <w:tcPr>
            <w:tcW w:w="9629" w:type="dxa"/>
            <w:gridSpan w:val="2"/>
            <w:shd w:val="clear" w:color="auto" w:fill="ACB9CA"/>
            <w:tcMar>
              <w:top w:w="100" w:type="dxa"/>
              <w:left w:w="100" w:type="dxa"/>
              <w:bottom w:w="100" w:type="dxa"/>
              <w:right w:w="100" w:type="dxa"/>
            </w:tcMar>
          </w:tcPr>
          <w:p w:rsidR="000F6A48" w:rsidRPr="000F6A48" w:rsidRDefault="000F6A48" w:rsidP="008B0EF4">
            <w:pPr>
              <w:widowControl w:val="0"/>
              <w:pBdr>
                <w:top w:val="nil"/>
                <w:left w:val="nil"/>
                <w:bottom w:val="nil"/>
                <w:right w:val="nil"/>
                <w:between w:val="nil"/>
              </w:pBdr>
              <w:spacing w:line="240" w:lineRule="auto"/>
              <w:jc w:val="center"/>
              <w:rPr>
                <w:b/>
                <w:sz w:val="12"/>
                <w:szCs w:val="30"/>
              </w:rPr>
            </w:pPr>
            <w:r w:rsidRPr="000F6A48">
              <w:rPr>
                <w:b/>
                <w:sz w:val="16"/>
                <w:szCs w:val="30"/>
              </w:rPr>
              <w:t>BILLEDANALYSE AF ’KVINDERNE FRA MIZOCZ’</w:t>
            </w:r>
          </w:p>
        </w:tc>
      </w:tr>
      <w:tr w:rsidR="000F6A48" w:rsidTr="00A976E2">
        <w:trPr>
          <w:trHeight w:val="225"/>
        </w:trPr>
        <w:tc>
          <w:tcPr>
            <w:tcW w:w="7928" w:type="dxa"/>
            <w:shd w:val="clear" w:color="auto" w:fill="D0CECE"/>
            <w:tcMar>
              <w:top w:w="100" w:type="dxa"/>
              <w:left w:w="100" w:type="dxa"/>
              <w:bottom w:w="100" w:type="dxa"/>
              <w:right w:w="100" w:type="dxa"/>
            </w:tcMar>
          </w:tcPr>
          <w:p w:rsidR="000F6A48" w:rsidRPr="000F6A48" w:rsidRDefault="000F6A48" w:rsidP="008B0EF4">
            <w:pPr>
              <w:rPr>
                <w:b/>
                <w:sz w:val="16"/>
                <w:szCs w:val="24"/>
              </w:rPr>
            </w:pPr>
            <w:r w:rsidRPr="000F6A48">
              <w:rPr>
                <w:b/>
                <w:sz w:val="16"/>
                <w:szCs w:val="24"/>
              </w:rPr>
              <w:t>Hvor har du fundet billedet henne? (Fx bogen, en artikel, en webside eller andet)</w:t>
            </w:r>
          </w:p>
        </w:tc>
        <w:tc>
          <w:tcPr>
            <w:tcW w:w="1701" w:type="dxa"/>
            <w:shd w:val="clear" w:color="auto" w:fill="auto"/>
            <w:tcMar>
              <w:top w:w="100" w:type="dxa"/>
              <w:left w:w="100" w:type="dxa"/>
              <w:bottom w:w="100" w:type="dxa"/>
              <w:right w:w="100" w:type="dxa"/>
            </w:tcMar>
          </w:tcPr>
          <w:p w:rsidR="000F6A48" w:rsidRPr="000F6A48" w:rsidRDefault="000F6A48" w:rsidP="008B0EF4">
            <w:pPr>
              <w:widowControl w:val="0"/>
              <w:pBdr>
                <w:top w:val="nil"/>
                <w:left w:val="nil"/>
                <w:bottom w:val="nil"/>
                <w:right w:val="nil"/>
                <w:between w:val="nil"/>
              </w:pBdr>
              <w:spacing w:line="240" w:lineRule="auto"/>
              <w:rPr>
                <w:sz w:val="12"/>
                <w:szCs w:val="24"/>
              </w:rPr>
            </w:pPr>
          </w:p>
        </w:tc>
      </w:tr>
      <w:tr w:rsidR="000F6A48" w:rsidTr="00A976E2">
        <w:trPr>
          <w:trHeight w:val="347"/>
        </w:trPr>
        <w:tc>
          <w:tcPr>
            <w:tcW w:w="7928" w:type="dxa"/>
            <w:shd w:val="clear" w:color="auto" w:fill="D0CECE"/>
            <w:tcMar>
              <w:top w:w="100" w:type="dxa"/>
              <w:left w:w="100" w:type="dxa"/>
              <w:bottom w:w="100" w:type="dxa"/>
              <w:right w:w="100" w:type="dxa"/>
            </w:tcMar>
          </w:tcPr>
          <w:p w:rsidR="000F6A48" w:rsidRPr="000F6A48" w:rsidRDefault="000F6A48" w:rsidP="008B0EF4">
            <w:pPr>
              <w:rPr>
                <w:b/>
                <w:sz w:val="16"/>
                <w:szCs w:val="24"/>
              </w:rPr>
            </w:pPr>
            <w:r w:rsidRPr="000F6A48">
              <w:rPr>
                <w:b/>
                <w:sz w:val="16"/>
                <w:szCs w:val="24"/>
              </w:rPr>
              <w:t xml:space="preserve">     Hvornår er billedet taget og hvorhenne? </w:t>
            </w:r>
          </w:p>
        </w:tc>
        <w:tc>
          <w:tcPr>
            <w:tcW w:w="1701" w:type="dxa"/>
            <w:shd w:val="clear" w:color="auto" w:fill="auto"/>
            <w:tcMar>
              <w:top w:w="100" w:type="dxa"/>
              <w:left w:w="100" w:type="dxa"/>
              <w:bottom w:w="100" w:type="dxa"/>
              <w:right w:w="100" w:type="dxa"/>
            </w:tcMar>
          </w:tcPr>
          <w:p w:rsidR="000F6A48" w:rsidRPr="000F6A48" w:rsidRDefault="000F6A48" w:rsidP="008B0EF4">
            <w:pPr>
              <w:widowControl w:val="0"/>
              <w:pBdr>
                <w:top w:val="nil"/>
                <w:left w:val="nil"/>
                <w:bottom w:val="nil"/>
                <w:right w:val="nil"/>
                <w:between w:val="nil"/>
              </w:pBdr>
              <w:spacing w:line="240" w:lineRule="auto"/>
              <w:rPr>
                <w:sz w:val="12"/>
                <w:szCs w:val="24"/>
              </w:rPr>
            </w:pPr>
          </w:p>
        </w:tc>
      </w:tr>
      <w:tr w:rsidR="000F6A48" w:rsidTr="00A976E2">
        <w:trPr>
          <w:trHeight w:val="327"/>
        </w:trPr>
        <w:tc>
          <w:tcPr>
            <w:tcW w:w="7928" w:type="dxa"/>
            <w:shd w:val="clear" w:color="auto" w:fill="D0CECE"/>
            <w:tcMar>
              <w:top w:w="100" w:type="dxa"/>
              <w:left w:w="100" w:type="dxa"/>
              <w:bottom w:w="100" w:type="dxa"/>
              <w:right w:w="100" w:type="dxa"/>
            </w:tcMar>
          </w:tcPr>
          <w:p w:rsidR="000F6A48" w:rsidRPr="000F6A48" w:rsidRDefault="000F6A48" w:rsidP="008B0EF4">
            <w:pPr>
              <w:rPr>
                <w:b/>
                <w:sz w:val="16"/>
                <w:szCs w:val="24"/>
              </w:rPr>
            </w:pPr>
            <w:r w:rsidRPr="000F6A48">
              <w:rPr>
                <w:b/>
                <w:sz w:val="16"/>
                <w:szCs w:val="24"/>
              </w:rPr>
              <w:t xml:space="preserve">Hvem er fotografen, og med hvilket formål er/kan billedet være taget? </w:t>
            </w:r>
          </w:p>
        </w:tc>
        <w:tc>
          <w:tcPr>
            <w:tcW w:w="1701" w:type="dxa"/>
            <w:shd w:val="clear" w:color="auto" w:fill="auto"/>
            <w:tcMar>
              <w:top w:w="100" w:type="dxa"/>
              <w:left w:w="100" w:type="dxa"/>
              <w:bottom w:w="100" w:type="dxa"/>
              <w:right w:w="100" w:type="dxa"/>
            </w:tcMar>
          </w:tcPr>
          <w:p w:rsidR="000F6A48" w:rsidRPr="000F6A48" w:rsidRDefault="000F6A48" w:rsidP="008B0EF4">
            <w:pPr>
              <w:widowControl w:val="0"/>
              <w:pBdr>
                <w:top w:val="nil"/>
                <w:left w:val="nil"/>
                <w:bottom w:val="nil"/>
                <w:right w:val="nil"/>
                <w:between w:val="nil"/>
              </w:pBdr>
              <w:spacing w:line="240" w:lineRule="auto"/>
              <w:rPr>
                <w:sz w:val="12"/>
                <w:szCs w:val="24"/>
              </w:rPr>
            </w:pPr>
          </w:p>
        </w:tc>
      </w:tr>
      <w:tr w:rsidR="000F6A48" w:rsidTr="00A976E2">
        <w:trPr>
          <w:trHeight w:val="548"/>
        </w:trPr>
        <w:tc>
          <w:tcPr>
            <w:tcW w:w="7928" w:type="dxa"/>
            <w:shd w:val="clear" w:color="auto" w:fill="D0CECE"/>
            <w:tcMar>
              <w:top w:w="100" w:type="dxa"/>
              <w:left w:w="100" w:type="dxa"/>
              <w:bottom w:w="100" w:type="dxa"/>
              <w:right w:w="100" w:type="dxa"/>
            </w:tcMar>
          </w:tcPr>
          <w:p w:rsidR="000F6A48" w:rsidRPr="000F6A48" w:rsidRDefault="000F6A48" w:rsidP="008B0EF4">
            <w:pPr>
              <w:rPr>
                <w:b/>
                <w:sz w:val="16"/>
                <w:szCs w:val="24"/>
              </w:rPr>
            </w:pPr>
            <w:r w:rsidRPr="000F6A48">
              <w:rPr>
                <w:b/>
                <w:sz w:val="16"/>
                <w:szCs w:val="24"/>
              </w:rPr>
              <w:t>Hvem er/kan have været billedets modtager?</w:t>
            </w:r>
          </w:p>
        </w:tc>
        <w:tc>
          <w:tcPr>
            <w:tcW w:w="1701" w:type="dxa"/>
            <w:shd w:val="clear" w:color="auto" w:fill="auto"/>
            <w:tcMar>
              <w:top w:w="100" w:type="dxa"/>
              <w:left w:w="100" w:type="dxa"/>
              <w:bottom w:w="100" w:type="dxa"/>
              <w:right w:w="100" w:type="dxa"/>
            </w:tcMar>
          </w:tcPr>
          <w:p w:rsidR="000F6A48" w:rsidRPr="000F6A48" w:rsidRDefault="000F6A48" w:rsidP="008B0EF4">
            <w:pPr>
              <w:widowControl w:val="0"/>
              <w:pBdr>
                <w:top w:val="nil"/>
                <w:left w:val="nil"/>
                <w:bottom w:val="nil"/>
                <w:right w:val="nil"/>
                <w:between w:val="nil"/>
              </w:pBdr>
              <w:spacing w:line="240" w:lineRule="auto"/>
              <w:rPr>
                <w:sz w:val="12"/>
                <w:szCs w:val="24"/>
              </w:rPr>
            </w:pPr>
          </w:p>
        </w:tc>
      </w:tr>
      <w:tr w:rsidR="000F6A48" w:rsidTr="00A976E2">
        <w:trPr>
          <w:trHeight w:val="155"/>
        </w:trPr>
        <w:tc>
          <w:tcPr>
            <w:tcW w:w="7928" w:type="dxa"/>
            <w:shd w:val="clear" w:color="auto" w:fill="D0CECE"/>
            <w:tcMar>
              <w:top w:w="100" w:type="dxa"/>
              <w:left w:w="100" w:type="dxa"/>
              <w:bottom w:w="100" w:type="dxa"/>
              <w:right w:w="100" w:type="dxa"/>
            </w:tcMar>
          </w:tcPr>
          <w:p w:rsidR="000F6A48" w:rsidRPr="000F6A48" w:rsidRDefault="000F6A48" w:rsidP="008B0EF4">
            <w:pPr>
              <w:rPr>
                <w:b/>
                <w:sz w:val="16"/>
                <w:szCs w:val="24"/>
              </w:rPr>
            </w:pPr>
            <w:r w:rsidRPr="000F6A48">
              <w:rPr>
                <w:b/>
                <w:sz w:val="16"/>
                <w:szCs w:val="24"/>
              </w:rPr>
              <w:t>Vurder hvilken type billede, der er tale om? Er det fx privat, officielt, iscenesat til propagandaformål eller andet?</w:t>
            </w:r>
          </w:p>
        </w:tc>
        <w:tc>
          <w:tcPr>
            <w:tcW w:w="1701" w:type="dxa"/>
            <w:shd w:val="clear" w:color="auto" w:fill="auto"/>
            <w:tcMar>
              <w:top w:w="100" w:type="dxa"/>
              <w:left w:w="100" w:type="dxa"/>
              <w:bottom w:w="100" w:type="dxa"/>
              <w:right w:w="100" w:type="dxa"/>
            </w:tcMar>
          </w:tcPr>
          <w:p w:rsidR="000F6A48" w:rsidRPr="000F6A48" w:rsidRDefault="000F6A48" w:rsidP="008B0EF4">
            <w:pPr>
              <w:widowControl w:val="0"/>
              <w:pBdr>
                <w:top w:val="nil"/>
                <w:left w:val="nil"/>
                <w:bottom w:val="nil"/>
                <w:right w:val="nil"/>
                <w:between w:val="nil"/>
              </w:pBdr>
              <w:spacing w:line="240" w:lineRule="auto"/>
              <w:rPr>
                <w:sz w:val="12"/>
                <w:szCs w:val="24"/>
              </w:rPr>
            </w:pPr>
          </w:p>
        </w:tc>
      </w:tr>
      <w:tr w:rsidR="000F6A48" w:rsidTr="00A976E2">
        <w:trPr>
          <w:trHeight w:val="155"/>
        </w:trPr>
        <w:tc>
          <w:tcPr>
            <w:tcW w:w="7928" w:type="dxa"/>
            <w:shd w:val="clear" w:color="auto" w:fill="D0CECE"/>
            <w:tcMar>
              <w:top w:w="100" w:type="dxa"/>
              <w:left w:w="100" w:type="dxa"/>
              <w:bottom w:w="100" w:type="dxa"/>
              <w:right w:w="100" w:type="dxa"/>
            </w:tcMar>
          </w:tcPr>
          <w:p w:rsidR="000F6A48" w:rsidRPr="000F6A48" w:rsidRDefault="000F6A48" w:rsidP="008B0EF4">
            <w:pPr>
              <w:rPr>
                <w:b/>
                <w:sz w:val="16"/>
                <w:szCs w:val="24"/>
              </w:rPr>
            </w:pPr>
            <w:r w:rsidRPr="000F6A48">
              <w:rPr>
                <w:b/>
                <w:sz w:val="16"/>
                <w:szCs w:val="24"/>
              </w:rPr>
              <w:lastRenderedPageBreak/>
              <w:t xml:space="preserve">Hvad er motivet? Beskriv situationen/den historiske hændelse, billedet viser. </w:t>
            </w:r>
          </w:p>
        </w:tc>
        <w:tc>
          <w:tcPr>
            <w:tcW w:w="1701" w:type="dxa"/>
            <w:shd w:val="clear" w:color="auto" w:fill="auto"/>
            <w:tcMar>
              <w:top w:w="100" w:type="dxa"/>
              <w:left w:w="100" w:type="dxa"/>
              <w:bottom w:w="100" w:type="dxa"/>
              <w:right w:w="100" w:type="dxa"/>
            </w:tcMar>
          </w:tcPr>
          <w:p w:rsidR="000F6A48" w:rsidRPr="000F6A48" w:rsidRDefault="000F6A48" w:rsidP="008B0EF4">
            <w:pPr>
              <w:widowControl w:val="0"/>
              <w:pBdr>
                <w:top w:val="nil"/>
                <w:left w:val="nil"/>
                <w:bottom w:val="nil"/>
                <w:right w:val="nil"/>
                <w:between w:val="nil"/>
              </w:pBdr>
              <w:spacing w:line="240" w:lineRule="auto"/>
              <w:rPr>
                <w:sz w:val="12"/>
                <w:szCs w:val="24"/>
              </w:rPr>
            </w:pPr>
          </w:p>
        </w:tc>
      </w:tr>
      <w:tr w:rsidR="000F6A48" w:rsidTr="00A976E2">
        <w:trPr>
          <w:trHeight w:val="419"/>
        </w:trPr>
        <w:tc>
          <w:tcPr>
            <w:tcW w:w="7928" w:type="dxa"/>
            <w:shd w:val="clear" w:color="auto" w:fill="D0CECE"/>
            <w:tcMar>
              <w:top w:w="100" w:type="dxa"/>
              <w:left w:w="100" w:type="dxa"/>
              <w:bottom w:w="100" w:type="dxa"/>
              <w:right w:w="100" w:type="dxa"/>
            </w:tcMar>
          </w:tcPr>
          <w:p w:rsidR="000F6A48" w:rsidRPr="000F6A48" w:rsidRDefault="000F6A48" w:rsidP="008B0EF4">
            <w:pPr>
              <w:rPr>
                <w:b/>
                <w:sz w:val="16"/>
                <w:szCs w:val="24"/>
              </w:rPr>
            </w:pPr>
            <w:r w:rsidRPr="000F6A48">
              <w:rPr>
                <w:b/>
                <w:sz w:val="16"/>
                <w:szCs w:val="24"/>
              </w:rPr>
              <w:t xml:space="preserve">Hvad er billedets beretning? Beskriv den stemning, der dominerer billedet, de modsætninger der optræder, fx personernes placeringer, deres kropssprog mv. </w:t>
            </w:r>
          </w:p>
        </w:tc>
        <w:tc>
          <w:tcPr>
            <w:tcW w:w="1701" w:type="dxa"/>
            <w:shd w:val="clear" w:color="auto" w:fill="auto"/>
            <w:tcMar>
              <w:top w:w="100" w:type="dxa"/>
              <w:left w:w="100" w:type="dxa"/>
              <w:bottom w:w="100" w:type="dxa"/>
              <w:right w:w="100" w:type="dxa"/>
            </w:tcMar>
          </w:tcPr>
          <w:p w:rsidR="000F6A48" w:rsidRPr="000F6A48" w:rsidRDefault="000F6A48" w:rsidP="008B0EF4">
            <w:pPr>
              <w:widowControl w:val="0"/>
              <w:pBdr>
                <w:top w:val="nil"/>
                <w:left w:val="nil"/>
                <w:bottom w:val="nil"/>
                <w:right w:val="nil"/>
                <w:between w:val="nil"/>
              </w:pBdr>
              <w:spacing w:line="240" w:lineRule="auto"/>
              <w:rPr>
                <w:sz w:val="12"/>
                <w:szCs w:val="24"/>
              </w:rPr>
            </w:pPr>
          </w:p>
        </w:tc>
      </w:tr>
      <w:tr w:rsidR="000F6A48" w:rsidTr="00A976E2">
        <w:trPr>
          <w:trHeight w:val="174"/>
        </w:trPr>
        <w:tc>
          <w:tcPr>
            <w:tcW w:w="7928" w:type="dxa"/>
            <w:shd w:val="clear" w:color="auto" w:fill="D0CECE"/>
            <w:tcMar>
              <w:top w:w="100" w:type="dxa"/>
              <w:left w:w="100" w:type="dxa"/>
              <w:bottom w:w="100" w:type="dxa"/>
              <w:right w:w="100" w:type="dxa"/>
            </w:tcMar>
          </w:tcPr>
          <w:p w:rsidR="000F6A48" w:rsidRPr="000F6A48" w:rsidRDefault="000F6A48" w:rsidP="008B0EF4">
            <w:pPr>
              <w:rPr>
                <w:b/>
                <w:sz w:val="16"/>
                <w:szCs w:val="24"/>
              </w:rPr>
            </w:pPr>
            <w:r w:rsidRPr="000F6A48">
              <w:rPr>
                <w:b/>
                <w:sz w:val="16"/>
                <w:szCs w:val="24"/>
              </w:rPr>
              <w:t>Er der bestemte værdiforestillinger, normer eller politiske tanker i datiden, der kan udledes af fotografiet? Hvis ja, beskriv dem.</w:t>
            </w:r>
          </w:p>
        </w:tc>
        <w:tc>
          <w:tcPr>
            <w:tcW w:w="1701" w:type="dxa"/>
            <w:shd w:val="clear" w:color="auto" w:fill="auto"/>
            <w:tcMar>
              <w:top w:w="100" w:type="dxa"/>
              <w:left w:w="100" w:type="dxa"/>
              <w:bottom w:w="100" w:type="dxa"/>
              <w:right w:w="100" w:type="dxa"/>
            </w:tcMar>
          </w:tcPr>
          <w:p w:rsidR="000F6A48" w:rsidRPr="000F6A48" w:rsidRDefault="000F6A48" w:rsidP="008B0EF4">
            <w:pPr>
              <w:widowControl w:val="0"/>
              <w:pBdr>
                <w:top w:val="nil"/>
                <w:left w:val="nil"/>
                <w:bottom w:val="nil"/>
                <w:right w:val="nil"/>
                <w:between w:val="nil"/>
              </w:pBdr>
              <w:spacing w:line="240" w:lineRule="auto"/>
              <w:rPr>
                <w:sz w:val="12"/>
                <w:szCs w:val="24"/>
              </w:rPr>
            </w:pPr>
          </w:p>
        </w:tc>
      </w:tr>
    </w:tbl>
    <w:p w:rsidR="000F6A48" w:rsidRPr="000F6A48" w:rsidRDefault="000F6A48" w:rsidP="000F6A48"/>
    <w:p w:rsidR="000F6A48" w:rsidRDefault="00A2200E" w:rsidP="000F6A48">
      <w:r>
        <w:t>Desuden siger SH noget om problemstillinger og koblingen mellem kilder og kontekst!</w:t>
      </w:r>
    </w:p>
    <w:p w:rsidR="00A2200E" w:rsidRDefault="00A2200E" w:rsidP="000F6A48"/>
    <w:p w:rsidR="000F6A48" w:rsidRDefault="000F6A48" w:rsidP="00A2200E">
      <w:pPr>
        <w:pStyle w:val="Overskrift2"/>
      </w:pPr>
      <w:r>
        <w:t>Sekvens 2 – Opsamling på lektien – ”Balls out”</w:t>
      </w:r>
    </w:p>
    <w:p w:rsidR="000F6A48" w:rsidRDefault="000F6A48" w:rsidP="000F6A48"/>
    <w:p w:rsidR="000F6A48" w:rsidRDefault="000F6A48" w:rsidP="000F6A48">
      <w:r>
        <w:t xml:space="preserve">Eleven med bolden præsenterer sin viden fra lektien. Når man har sagt en pointe, sender man bolden videre. Har man opklarende spørgsmål, så studser man bolden tilbage til modtageren. </w:t>
      </w:r>
    </w:p>
    <w:p w:rsidR="000F6A48" w:rsidRPr="000F6A48" w:rsidRDefault="000F6A48" w:rsidP="000F6A48">
      <w:pPr>
        <w:rPr>
          <w:u w:val="single"/>
        </w:rPr>
      </w:pPr>
      <w:r>
        <w:br/>
      </w:r>
      <w:r w:rsidR="00A2200E">
        <w:rPr>
          <w:u w:val="single"/>
        </w:rPr>
        <w:t>Dagens g</w:t>
      </w:r>
      <w:r w:rsidRPr="000F6A48">
        <w:rPr>
          <w:u w:val="single"/>
        </w:rPr>
        <w:t>rupper:</w:t>
      </w:r>
    </w:p>
    <w:p w:rsidR="000F6A48" w:rsidRDefault="000F6A48" w:rsidP="000F6A48">
      <w:r>
        <w:t>Isabella, MC, Amanda, Emilie, Babeth</w:t>
      </w:r>
    </w:p>
    <w:p w:rsidR="000F6A48" w:rsidRPr="002304D5" w:rsidRDefault="000F6A48" w:rsidP="000F6A48">
      <w:pPr>
        <w:rPr>
          <w:lang w:val="en-US"/>
        </w:rPr>
      </w:pPr>
      <w:r w:rsidRPr="002304D5">
        <w:rPr>
          <w:lang w:val="en-US"/>
        </w:rPr>
        <w:t xml:space="preserve">Armin, Caroline, Daniel, Ida </w:t>
      </w:r>
    </w:p>
    <w:p w:rsidR="000F6A48" w:rsidRPr="002304D5" w:rsidRDefault="000F6A48" w:rsidP="000F6A48">
      <w:pPr>
        <w:rPr>
          <w:lang w:val="en-US"/>
        </w:rPr>
      </w:pPr>
      <w:r w:rsidRPr="002304D5">
        <w:rPr>
          <w:lang w:val="en-US"/>
        </w:rPr>
        <w:t xml:space="preserve">Sander, </w:t>
      </w:r>
      <w:proofErr w:type="spellStart"/>
      <w:r w:rsidRPr="002304D5">
        <w:rPr>
          <w:lang w:val="en-US"/>
        </w:rPr>
        <w:t>Sugra</w:t>
      </w:r>
      <w:proofErr w:type="spellEnd"/>
      <w:r w:rsidRPr="002304D5">
        <w:rPr>
          <w:lang w:val="en-US"/>
        </w:rPr>
        <w:t xml:space="preserve">, </w:t>
      </w:r>
      <w:proofErr w:type="spellStart"/>
      <w:r w:rsidRPr="002304D5">
        <w:rPr>
          <w:lang w:val="en-US"/>
        </w:rPr>
        <w:t>Naja</w:t>
      </w:r>
      <w:proofErr w:type="spellEnd"/>
      <w:r w:rsidRPr="002304D5">
        <w:rPr>
          <w:lang w:val="en-US"/>
        </w:rPr>
        <w:t xml:space="preserve">, </w:t>
      </w:r>
      <w:proofErr w:type="spellStart"/>
      <w:r w:rsidRPr="002304D5">
        <w:rPr>
          <w:lang w:val="en-US"/>
        </w:rPr>
        <w:t>Sille</w:t>
      </w:r>
      <w:proofErr w:type="spellEnd"/>
      <w:r w:rsidRPr="002304D5">
        <w:rPr>
          <w:lang w:val="en-US"/>
        </w:rPr>
        <w:t xml:space="preserve">, </w:t>
      </w:r>
      <w:proofErr w:type="spellStart"/>
      <w:r w:rsidRPr="002304D5">
        <w:rPr>
          <w:lang w:val="en-US"/>
        </w:rPr>
        <w:t>Malou</w:t>
      </w:r>
      <w:proofErr w:type="spellEnd"/>
    </w:p>
    <w:p w:rsidR="000F6A48" w:rsidRDefault="000F6A48" w:rsidP="000F6A48">
      <w:pPr>
        <w:rPr>
          <w:lang w:val="en-US"/>
        </w:rPr>
      </w:pPr>
      <w:r w:rsidRPr="002304D5">
        <w:rPr>
          <w:lang w:val="en-US"/>
        </w:rPr>
        <w:t xml:space="preserve">Emma, Anna A, </w:t>
      </w:r>
      <w:r>
        <w:rPr>
          <w:lang w:val="en-US"/>
        </w:rPr>
        <w:t xml:space="preserve">Anika, </w:t>
      </w:r>
      <w:proofErr w:type="spellStart"/>
      <w:r>
        <w:rPr>
          <w:lang w:val="en-US"/>
        </w:rPr>
        <w:t>Ebyan</w:t>
      </w:r>
      <w:proofErr w:type="spellEnd"/>
      <w:r>
        <w:rPr>
          <w:lang w:val="en-US"/>
        </w:rPr>
        <w:t xml:space="preserve">, </w:t>
      </w:r>
      <w:proofErr w:type="spellStart"/>
      <w:r>
        <w:rPr>
          <w:lang w:val="en-US"/>
        </w:rPr>
        <w:t>Alberte</w:t>
      </w:r>
      <w:proofErr w:type="spellEnd"/>
    </w:p>
    <w:p w:rsidR="000F6A48" w:rsidRDefault="000F6A48" w:rsidP="000F6A48">
      <w:pPr>
        <w:rPr>
          <w:lang w:val="en-US"/>
        </w:rPr>
      </w:pPr>
      <w:r>
        <w:rPr>
          <w:lang w:val="en-US"/>
        </w:rPr>
        <w:t xml:space="preserve">Jacob, Maddie, Anna S, Maja </w:t>
      </w:r>
    </w:p>
    <w:p w:rsidR="000F6A48" w:rsidRPr="002304D5" w:rsidRDefault="000F6A48" w:rsidP="000F6A48">
      <w:pPr>
        <w:rPr>
          <w:lang w:val="en-US"/>
        </w:rPr>
      </w:pPr>
      <w:r>
        <w:rPr>
          <w:lang w:val="en-US"/>
        </w:rPr>
        <w:t xml:space="preserve">Santino, </w:t>
      </w:r>
      <w:proofErr w:type="spellStart"/>
      <w:r>
        <w:rPr>
          <w:lang w:val="en-US"/>
        </w:rPr>
        <w:t>Mathilde</w:t>
      </w:r>
      <w:proofErr w:type="spellEnd"/>
      <w:r>
        <w:rPr>
          <w:lang w:val="en-US"/>
        </w:rPr>
        <w:t xml:space="preserve">, Petrine, </w:t>
      </w:r>
      <w:proofErr w:type="spellStart"/>
      <w:r>
        <w:rPr>
          <w:lang w:val="en-US"/>
        </w:rPr>
        <w:t>Iben</w:t>
      </w:r>
      <w:proofErr w:type="spellEnd"/>
    </w:p>
    <w:p w:rsidR="000F6A48" w:rsidRPr="002304D5" w:rsidRDefault="000F6A48" w:rsidP="000F6A48">
      <w:pPr>
        <w:rPr>
          <w:lang w:val="en-US"/>
        </w:rPr>
      </w:pPr>
    </w:p>
    <w:p w:rsidR="000F6A48" w:rsidRPr="001F0603" w:rsidRDefault="000F6A48" w:rsidP="000F6A48">
      <w:pPr>
        <w:pStyle w:val="Overskrift2"/>
        <w:rPr>
          <w:lang w:val="en-US"/>
        </w:rPr>
      </w:pPr>
    </w:p>
    <w:p w:rsidR="000F6A48" w:rsidRDefault="000F6A48" w:rsidP="000F6A48">
      <w:pPr>
        <w:pStyle w:val="Overskrift2"/>
      </w:pPr>
      <w:r w:rsidRPr="000F6A48">
        <w:t>Sekvens 3</w:t>
      </w:r>
      <w:r>
        <w:t xml:space="preserve"> – Movie time </w:t>
      </w:r>
    </w:p>
    <w:p w:rsidR="000F6A48" w:rsidRDefault="001F0603" w:rsidP="000F6A48">
      <w:pPr>
        <w:spacing w:after="0" w:line="276" w:lineRule="auto"/>
      </w:pPr>
      <w:r>
        <w:br/>
        <w:t xml:space="preserve">Vi ser de første </w:t>
      </w:r>
      <w:bookmarkStart w:id="0" w:name="_GoBack"/>
      <w:bookmarkEnd w:id="0"/>
      <w:r>
        <w:t>12.22</w:t>
      </w:r>
      <w:r w:rsidR="000F6A48">
        <w:t xml:space="preserve"> min af </w:t>
      </w:r>
      <w:hyperlink r:id="rId8">
        <w:r w:rsidR="000F6A48">
          <w:rPr>
            <w:color w:val="1155CC"/>
            <w:u w:val="single"/>
          </w:rPr>
          <w:t>https://www.ushmm.org/learn/holocaust/the-path-to-nazi-genocide</w:t>
        </w:r>
      </w:hyperlink>
    </w:p>
    <w:p w:rsidR="00A976E2" w:rsidRDefault="00A976E2" w:rsidP="000F6A48">
      <w:pPr>
        <w:pStyle w:val="Overskrift2"/>
      </w:pPr>
    </w:p>
    <w:p w:rsidR="00A976E2" w:rsidRDefault="00A976E2" w:rsidP="000F6A48">
      <w:pPr>
        <w:pStyle w:val="Overskrift2"/>
      </w:pPr>
    </w:p>
    <w:p w:rsidR="00A976E2" w:rsidRDefault="00A976E2" w:rsidP="000F6A48">
      <w:pPr>
        <w:pStyle w:val="Overskrift2"/>
      </w:pPr>
    </w:p>
    <w:p w:rsidR="000F6A48" w:rsidRDefault="000F6A48" w:rsidP="000F6A48"/>
    <w:p w:rsidR="00A976E2" w:rsidRDefault="00A976E2" w:rsidP="00FC44E3">
      <w:pPr>
        <w:spacing w:before="240" w:after="240"/>
        <w:rPr>
          <w:sz w:val="24"/>
          <w:szCs w:val="24"/>
        </w:rPr>
      </w:pPr>
    </w:p>
    <w:p w:rsidR="00A976E2" w:rsidRDefault="00A976E2" w:rsidP="00A976E2">
      <w:pPr>
        <w:pStyle w:val="Overskrift2"/>
      </w:pPr>
      <w:r>
        <w:lastRenderedPageBreak/>
        <w:t>Sekvens 4 – Struktur/aktørforklaringer</w:t>
      </w:r>
    </w:p>
    <w:p w:rsidR="00FC44E3" w:rsidRDefault="00FC44E3" w:rsidP="00FC44E3">
      <w:pPr>
        <w:spacing w:before="240" w:after="240"/>
        <w:rPr>
          <w:sz w:val="24"/>
          <w:szCs w:val="24"/>
        </w:rPr>
      </w:pPr>
      <w:r>
        <w:rPr>
          <w:sz w:val="24"/>
          <w:szCs w:val="24"/>
        </w:rPr>
        <w:t xml:space="preserve">I historiefaget er det et mål at forstå årsagerne til, at historien har udviklet sig på en bestemt måde. I denne opgave skal du bruge </w:t>
      </w:r>
      <w:r>
        <w:rPr>
          <w:i/>
          <w:sz w:val="24"/>
          <w:szCs w:val="24"/>
        </w:rPr>
        <w:t>årsagsforklaringer</w:t>
      </w:r>
      <w:r>
        <w:rPr>
          <w:sz w:val="24"/>
          <w:szCs w:val="24"/>
        </w:rPr>
        <w:t>, når du undersøger, hvorfor Hitler kom til magten i Tyskland i 1933.</w:t>
      </w:r>
    </w:p>
    <w:p w:rsidR="00FC44E3" w:rsidRDefault="00FC44E3" w:rsidP="00FC44E3">
      <w:pPr>
        <w:spacing w:before="240" w:after="240"/>
        <w:rPr>
          <w:b/>
          <w:sz w:val="24"/>
          <w:szCs w:val="24"/>
        </w:rPr>
      </w:pPr>
      <w:r>
        <w:rPr>
          <w:b/>
          <w:sz w:val="24"/>
          <w:szCs w:val="24"/>
        </w:rPr>
        <w:t>Baggrund</w:t>
      </w:r>
    </w:p>
    <w:p w:rsidR="00FC44E3" w:rsidRDefault="00FC44E3" w:rsidP="00FC44E3">
      <w:pPr>
        <w:spacing w:before="240" w:after="240"/>
        <w:rPr>
          <w:sz w:val="24"/>
          <w:szCs w:val="24"/>
        </w:rPr>
      </w:pPr>
      <w:r>
        <w:rPr>
          <w:sz w:val="24"/>
          <w:szCs w:val="24"/>
        </w:rPr>
        <w:t xml:space="preserve">Årsagsforklaringer opdeles i to kategorier: udløsende og bagvedliggende årsager. En </w:t>
      </w:r>
      <w:r>
        <w:rPr>
          <w:i/>
          <w:sz w:val="24"/>
          <w:szCs w:val="24"/>
        </w:rPr>
        <w:t xml:space="preserve">udløsende årsag </w:t>
      </w:r>
      <w:r>
        <w:rPr>
          <w:sz w:val="24"/>
          <w:szCs w:val="24"/>
        </w:rPr>
        <w:t xml:space="preserve">er den umiddelbare årsag til, at en bestemt begivenhed har fundet sted. Fx fik Hitler magten, fordi han blev udpeget til kansler af den tyske koalitionsregering. Men den </w:t>
      </w:r>
      <w:r>
        <w:rPr>
          <w:i/>
          <w:sz w:val="24"/>
          <w:szCs w:val="24"/>
        </w:rPr>
        <w:t xml:space="preserve">bagvedliggende årsag </w:t>
      </w:r>
      <w:r>
        <w:rPr>
          <w:sz w:val="24"/>
          <w:szCs w:val="24"/>
        </w:rPr>
        <w:t>er den dybere forklaring på den udvikling, dvs. baggrunden for, at Hitler blev udpeget. I historiefaget er det typisk de bagvedliggende årsager, der er interessante at arbejde med, og det er også dem, du skal finde i denne opgave.</w:t>
      </w:r>
    </w:p>
    <w:p w:rsidR="00FC44E3" w:rsidRDefault="00FC44E3" w:rsidP="00FC44E3">
      <w:pPr>
        <w:spacing w:before="240" w:after="240"/>
        <w:rPr>
          <w:sz w:val="24"/>
          <w:szCs w:val="24"/>
          <w:highlight w:val="white"/>
        </w:rPr>
      </w:pPr>
      <w:r>
        <w:rPr>
          <w:b/>
          <w:sz w:val="24"/>
          <w:szCs w:val="24"/>
        </w:rPr>
        <w:t>Aktør eller struktur – hvad driver historien frem?</w:t>
      </w:r>
      <w:r>
        <w:rPr>
          <w:b/>
          <w:sz w:val="24"/>
          <w:szCs w:val="24"/>
        </w:rPr>
        <w:br/>
      </w:r>
      <w:r>
        <w:rPr>
          <w:sz w:val="24"/>
          <w:szCs w:val="24"/>
        </w:rPr>
        <w:t xml:space="preserve">Når du skal analysere de bagvedliggende årsager til nazisternes magtovertagelse, er </w:t>
      </w:r>
      <w:r>
        <w:rPr>
          <w:i/>
          <w:sz w:val="24"/>
          <w:szCs w:val="24"/>
        </w:rPr>
        <w:t xml:space="preserve">aktør- og strukturforklaringer </w:t>
      </w:r>
      <w:r>
        <w:rPr>
          <w:sz w:val="24"/>
          <w:szCs w:val="24"/>
        </w:rPr>
        <w:t xml:space="preserve">to vigtige redskaber. </w:t>
      </w:r>
      <w:r>
        <w:rPr>
          <w:sz w:val="24"/>
          <w:szCs w:val="24"/>
          <w:highlight w:val="white"/>
        </w:rPr>
        <w:t xml:space="preserve">Ifølge </w:t>
      </w:r>
      <w:r>
        <w:rPr>
          <w:i/>
          <w:sz w:val="24"/>
          <w:szCs w:val="24"/>
          <w:highlight w:val="white"/>
        </w:rPr>
        <w:t xml:space="preserve">aktør-forklaringen </w:t>
      </w:r>
      <w:r>
        <w:rPr>
          <w:sz w:val="24"/>
          <w:szCs w:val="24"/>
          <w:highlight w:val="white"/>
        </w:rPr>
        <w:t xml:space="preserve">er historisk udvikling altid menneskeskabt, og det er bestemte aktørers handlinger, som får historiens hjul til at dreje rundt. Det er altså enkeltpersoner, grupper, bevægelser, partier, regeringer m.fl., der driver historien frem. </w:t>
      </w:r>
      <w:r>
        <w:rPr>
          <w:i/>
          <w:sz w:val="24"/>
          <w:szCs w:val="24"/>
          <w:highlight w:val="white"/>
        </w:rPr>
        <w:t>Struktur-forklaringen</w:t>
      </w:r>
      <w:r>
        <w:rPr>
          <w:sz w:val="24"/>
          <w:szCs w:val="24"/>
          <w:highlight w:val="white"/>
        </w:rPr>
        <w:t xml:space="preserve"> peger derimod på, at det er en periodes økonomiske, politiske, ideologiske eller sociale vilkår og udvikling, der sætter rammen om menneskers handlerum. Menneskers handlinger kan kun ske </w:t>
      </w:r>
      <w:proofErr w:type="gramStart"/>
      <w:r>
        <w:rPr>
          <w:sz w:val="24"/>
          <w:szCs w:val="24"/>
          <w:highlight w:val="white"/>
        </w:rPr>
        <w:t>indenfor</w:t>
      </w:r>
      <w:proofErr w:type="gramEnd"/>
      <w:r>
        <w:rPr>
          <w:sz w:val="24"/>
          <w:szCs w:val="24"/>
          <w:highlight w:val="white"/>
        </w:rPr>
        <w:t xml:space="preserve"> de gældende rammer (strukturer), og derfor er det strukturerne, der afgør, hvilke handlinger der kan udføres.</w:t>
      </w:r>
    </w:p>
    <w:p w:rsidR="00FC44E3" w:rsidRDefault="00FC44E3" w:rsidP="00FC44E3">
      <w:pPr>
        <w:pBdr>
          <w:top w:val="none" w:sz="0" w:space="12" w:color="auto"/>
          <w:bottom w:val="none" w:sz="0" w:space="12" w:color="auto"/>
          <w:between w:val="none" w:sz="0" w:space="12" w:color="auto"/>
        </w:pBdr>
        <w:spacing w:before="240" w:after="240"/>
        <w:rPr>
          <w:color w:val="020202"/>
          <w:sz w:val="24"/>
          <w:szCs w:val="24"/>
          <w:highlight w:val="white"/>
        </w:rPr>
      </w:pPr>
      <w:r>
        <w:rPr>
          <w:b/>
          <w:sz w:val="24"/>
          <w:szCs w:val="24"/>
          <w:highlight w:val="white"/>
        </w:rPr>
        <w:t>Opgave</w:t>
      </w:r>
      <w:r>
        <w:rPr>
          <w:b/>
          <w:sz w:val="24"/>
          <w:szCs w:val="24"/>
          <w:highlight w:val="white"/>
        </w:rPr>
        <w:br/>
      </w:r>
      <w:r>
        <w:rPr>
          <w:sz w:val="24"/>
          <w:szCs w:val="24"/>
          <w:highlight w:val="white"/>
        </w:rPr>
        <w:t xml:space="preserve">Overvej, om aktør- eller strukturforklaringen bedst forklarer, at Hitler fik magten i Tyskland. </w:t>
      </w:r>
      <w:r>
        <w:rPr>
          <w:color w:val="020202"/>
          <w:sz w:val="24"/>
          <w:szCs w:val="24"/>
          <w:highlight w:val="white"/>
        </w:rPr>
        <w:t xml:space="preserve">Brug skemaet og inddrag begge perspektiver. I dine overvejelser skal indgå, om magtovertagelsen kan forklares med </w:t>
      </w:r>
      <w:r>
        <w:rPr>
          <w:sz w:val="24"/>
          <w:szCs w:val="24"/>
        </w:rPr>
        <w:t xml:space="preserve">Hitlers handlinger og den opbakning, han fik fra sine omgivelser. Eller i de historiske omstændigheder, der muliggjorde Hitlers handlinger, fx Versaillesfreden og den økonomiske krise. </w:t>
      </w:r>
      <w:r>
        <w:rPr>
          <w:color w:val="020202"/>
          <w:sz w:val="24"/>
          <w:szCs w:val="24"/>
          <w:highlight w:val="white"/>
        </w:rPr>
        <w:t>Eller om den historiske udvikling var et produkt af begge dele.</w:t>
      </w:r>
    </w:p>
    <w:p w:rsidR="00FC44E3" w:rsidRDefault="00FC44E3" w:rsidP="00FC44E3">
      <w:pPr>
        <w:pBdr>
          <w:top w:val="none" w:sz="0" w:space="12" w:color="auto"/>
          <w:bottom w:val="none" w:sz="0" w:space="12" w:color="auto"/>
          <w:between w:val="none" w:sz="0" w:space="12" w:color="auto"/>
        </w:pBdr>
        <w:spacing w:before="240" w:after="240"/>
        <w:rPr>
          <w:color w:val="020202"/>
          <w:sz w:val="24"/>
          <w:szCs w:val="24"/>
          <w:highlight w:val="white"/>
        </w:rPr>
      </w:pPr>
      <w:r>
        <w:rPr>
          <w:color w:val="020202"/>
          <w:sz w:val="24"/>
          <w:szCs w:val="24"/>
          <w:highlight w:val="white"/>
        </w:rPr>
        <w:br/>
      </w:r>
    </w:p>
    <w:p w:rsidR="00FC44E3" w:rsidRDefault="00FC44E3" w:rsidP="00FC44E3">
      <w:pPr>
        <w:pBdr>
          <w:top w:val="none" w:sz="0" w:space="12" w:color="auto"/>
          <w:bottom w:val="none" w:sz="0" w:space="12" w:color="auto"/>
          <w:between w:val="none" w:sz="0" w:space="12" w:color="auto"/>
        </w:pBdr>
        <w:spacing w:before="240" w:after="240"/>
        <w:rPr>
          <w:color w:val="020202"/>
          <w:sz w:val="24"/>
          <w:szCs w:val="24"/>
          <w:highlight w:val="white"/>
        </w:rPr>
      </w:pPr>
    </w:p>
    <w:tbl>
      <w:tblPr>
        <w:tblW w:w="8127" w:type="dxa"/>
        <w:tblBorders>
          <w:top w:val="nil"/>
          <w:left w:val="nil"/>
          <w:bottom w:val="nil"/>
          <w:right w:val="nil"/>
          <w:insideH w:val="nil"/>
          <w:insideV w:val="nil"/>
        </w:tblBorders>
        <w:tblLayout w:type="fixed"/>
        <w:tblLook w:val="0600" w:firstRow="0" w:lastRow="0" w:firstColumn="0" w:lastColumn="0" w:noHBand="1" w:noVBand="1"/>
      </w:tblPr>
      <w:tblGrid>
        <w:gridCol w:w="4096"/>
        <w:gridCol w:w="4031"/>
      </w:tblGrid>
      <w:tr w:rsidR="00FC44E3" w:rsidTr="00A2200E">
        <w:trPr>
          <w:trHeight w:val="700"/>
        </w:trPr>
        <w:tc>
          <w:tcPr>
            <w:tcW w:w="8127" w:type="dxa"/>
            <w:gridSpan w:val="2"/>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rsidR="00FC44E3" w:rsidRPr="00A2200E" w:rsidRDefault="00FC44E3" w:rsidP="008B0EF4">
            <w:pPr>
              <w:spacing w:before="240" w:after="240"/>
              <w:ind w:left="80" w:right="80"/>
              <w:jc w:val="center"/>
              <w:rPr>
                <w:b/>
                <w:sz w:val="24"/>
                <w:szCs w:val="30"/>
              </w:rPr>
            </w:pPr>
            <w:r w:rsidRPr="00A2200E">
              <w:rPr>
                <w:b/>
                <w:sz w:val="24"/>
                <w:szCs w:val="30"/>
              </w:rPr>
              <w:lastRenderedPageBreak/>
              <w:t>AKTØR- OG STRUKTURFORKLARING</w:t>
            </w:r>
          </w:p>
        </w:tc>
      </w:tr>
      <w:tr w:rsidR="00FC44E3" w:rsidTr="00A2200E">
        <w:trPr>
          <w:trHeight w:val="1853"/>
        </w:trPr>
        <w:tc>
          <w:tcPr>
            <w:tcW w:w="4096" w:type="dxa"/>
            <w:tcBorders>
              <w:top w:val="single" w:sz="8" w:space="0" w:color="000000"/>
              <w:left w:val="single" w:sz="8" w:space="0" w:color="000000"/>
              <w:bottom w:val="single" w:sz="8" w:space="0" w:color="000000"/>
              <w:right w:val="single" w:sz="8" w:space="0" w:color="000000"/>
            </w:tcBorders>
            <w:shd w:val="clear" w:color="auto" w:fill="D0CECE"/>
            <w:tcMar>
              <w:top w:w="100" w:type="dxa"/>
              <w:left w:w="100" w:type="dxa"/>
              <w:bottom w:w="100" w:type="dxa"/>
              <w:right w:w="100" w:type="dxa"/>
            </w:tcMar>
          </w:tcPr>
          <w:p w:rsidR="00FC44E3" w:rsidRPr="00A2200E" w:rsidRDefault="00FC44E3" w:rsidP="008B0EF4">
            <w:pPr>
              <w:spacing w:before="240" w:after="240"/>
              <w:ind w:left="80" w:right="80"/>
              <w:rPr>
                <w:b/>
                <w:sz w:val="24"/>
                <w:szCs w:val="30"/>
              </w:rPr>
            </w:pPr>
            <w:r w:rsidRPr="00A2200E">
              <w:rPr>
                <w:b/>
                <w:sz w:val="24"/>
                <w:szCs w:val="30"/>
              </w:rPr>
              <w:t>Aktør-forklaringen:</w:t>
            </w:r>
          </w:p>
          <w:p w:rsidR="00FC44E3" w:rsidRPr="00A2200E" w:rsidRDefault="00FC44E3" w:rsidP="008B0EF4">
            <w:pPr>
              <w:spacing w:before="240" w:after="240"/>
              <w:ind w:left="80" w:right="80"/>
              <w:rPr>
                <w:sz w:val="24"/>
                <w:szCs w:val="30"/>
              </w:rPr>
            </w:pPr>
            <w:r w:rsidRPr="00A2200E">
              <w:rPr>
                <w:sz w:val="24"/>
                <w:szCs w:val="30"/>
              </w:rPr>
              <w:t>Beskriv de personer og bevægelser, der havde betydning for nazisternes magtovertagelse. Beskriv både motiver og handlinger.</w:t>
            </w:r>
          </w:p>
        </w:tc>
        <w:tc>
          <w:tcPr>
            <w:tcW w:w="4030" w:type="dxa"/>
            <w:tcBorders>
              <w:top w:val="single" w:sz="8" w:space="0" w:color="000000"/>
              <w:left w:val="nil"/>
              <w:bottom w:val="single" w:sz="8" w:space="0" w:color="000000"/>
              <w:right w:val="single" w:sz="8" w:space="0" w:color="000000"/>
            </w:tcBorders>
            <w:shd w:val="clear" w:color="auto" w:fill="D0CECE"/>
            <w:tcMar>
              <w:top w:w="100" w:type="dxa"/>
              <w:left w:w="100" w:type="dxa"/>
              <w:bottom w:w="100" w:type="dxa"/>
              <w:right w:w="100" w:type="dxa"/>
            </w:tcMar>
          </w:tcPr>
          <w:p w:rsidR="00FC44E3" w:rsidRPr="00A2200E" w:rsidRDefault="00FC44E3" w:rsidP="008B0EF4">
            <w:pPr>
              <w:spacing w:before="240" w:after="240"/>
              <w:ind w:left="80" w:right="80"/>
              <w:rPr>
                <w:b/>
                <w:sz w:val="24"/>
                <w:szCs w:val="30"/>
              </w:rPr>
            </w:pPr>
            <w:r w:rsidRPr="00A2200E">
              <w:rPr>
                <w:b/>
                <w:sz w:val="24"/>
                <w:szCs w:val="30"/>
              </w:rPr>
              <w:t>Struktur-forklaringen:</w:t>
            </w:r>
          </w:p>
          <w:p w:rsidR="00FC44E3" w:rsidRPr="00A2200E" w:rsidRDefault="00FC44E3" w:rsidP="008B0EF4">
            <w:pPr>
              <w:spacing w:before="240" w:after="240"/>
              <w:ind w:left="80" w:right="80"/>
              <w:rPr>
                <w:sz w:val="24"/>
                <w:szCs w:val="30"/>
              </w:rPr>
            </w:pPr>
            <w:r w:rsidRPr="00A2200E">
              <w:rPr>
                <w:sz w:val="24"/>
                <w:szCs w:val="30"/>
              </w:rPr>
              <w:t>Beskriv de konkrete forhold, der havde betydning for nazisternes magtovertagelse.</w:t>
            </w:r>
          </w:p>
        </w:tc>
      </w:tr>
      <w:tr w:rsidR="00FC44E3" w:rsidTr="00A2200E">
        <w:trPr>
          <w:trHeight w:val="2212"/>
        </w:trPr>
        <w:tc>
          <w:tcPr>
            <w:tcW w:w="409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C44E3" w:rsidRPr="00A2200E" w:rsidRDefault="00FC44E3" w:rsidP="008B0EF4">
            <w:pPr>
              <w:spacing w:before="240" w:after="240"/>
              <w:ind w:left="80" w:right="80"/>
              <w:rPr>
                <w:b/>
                <w:sz w:val="24"/>
                <w:szCs w:val="30"/>
              </w:rPr>
            </w:pPr>
            <w:r w:rsidRPr="00A2200E">
              <w:rPr>
                <w:b/>
                <w:sz w:val="24"/>
                <w:szCs w:val="30"/>
              </w:rPr>
              <w:t>Personer/grupper</w:t>
            </w:r>
          </w:p>
          <w:p w:rsidR="00FC44E3" w:rsidRPr="00A2200E" w:rsidRDefault="00FC44E3" w:rsidP="008B0EF4">
            <w:pPr>
              <w:spacing w:before="240" w:after="240"/>
              <w:ind w:left="80" w:right="80"/>
              <w:rPr>
                <w:b/>
                <w:sz w:val="24"/>
                <w:szCs w:val="30"/>
              </w:rPr>
            </w:pPr>
            <w:r w:rsidRPr="00A2200E">
              <w:rPr>
                <w:b/>
                <w:sz w:val="24"/>
                <w:szCs w:val="30"/>
              </w:rPr>
              <w:t>Motiver</w:t>
            </w:r>
          </w:p>
          <w:p w:rsidR="00FC44E3" w:rsidRPr="00A2200E" w:rsidRDefault="00FC44E3" w:rsidP="008B0EF4">
            <w:pPr>
              <w:spacing w:before="240" w:after="240"/>
              <w:ind w:left="80" w:right="80"/>
              <w:rPr>
                <w:b/>
                <w:sz w:val="24"/>
                <w:szCs w:val="30"/>
              </w:rPr>
            </w:pPr>
            <w:r w:rsidRPr="00A2200E">
              <w:rPr>
                <w:b/>
                <w:sz w:val="24"/>
                <w:szCs w:val="30"/>
              </w:rPr>
              <w:t>Handlinger</w:t>
            </w:r>
          </w:p>
          <w:p w:rsidR="00FC44E3" w:rsidRPr="00A2200E" w:rsidRDefault="00FC44E3" w:rsidP="008B0EF4">
            <w:pPr>
              <w:spacing w:before="240" w:after="240"/>
              <w:ind w:left="80" w:right="80"/>
              <w:rPr>
                <w:b/>
                <w:sz w:val="24"/>
                <w:szCs w:val="30"/>
              </w:rPr>
            </w:pPr>
            <w:r w:rsidRPr="00A2200E">
              <w:rPr>
                <w:b/>
                <w:sz w:val="24"/>
                <w:szCs w:val="30"/>
              </w:rPr>
              <w:br/>
            </w:r>
          </w:p>
        </w:tc>
        <w:tc>
          <w:tcPr>
            <w:tcW w:w="40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C44E3" w:rsidRPr="00A2200E" w:rsidRDefault="00FC44E3" w:rsidP="008B0EF4">
            <w:pPr>
              <w:spacing w:before="240" w:after="240"/>
              <w:ind w:left="80" w:right="80"/>
              <w:rPr>
                <w:b/>
                <w:sz w:val="24"/>
                <w:szCs w:val="30"/>
              </w:rPr>
            </w:pPr>
            <w:r w:rsidRPr="00A2200E">
              <w:rPr>
                <w:b/>
                <w:sz w:val="24"/>
                <w:szCs w:val="30"/>
              </w:rPr>
              <w:t>Økonomiske forhold</w:t>
            </w:r>
          </w:p>
          <w:p w:rsidR="00FC44E3" w:rsidRPr="00A2200E" w:rsidRDefault="00FC44E3" w:rsidP="008B0EF4">
            <w:pPr>
              <w:spacing w:before="240" w:after="240"/>
              <w:ind w:left="80" w:right="80"/>
              <w:rPr>
                <w:b/>
                <w:sz w:val="24"/>
                <w:szCs w:val="30"/>
              </w:rPr>
            </w:pPr>
            <w:r w:rsidRPr="00A2200E">
              <w:rPr>
                <w:b/>
                <w:sz w:val="24"/>
                <w:szCs w:val="30"/>
              </w:rPr>
              <w:t>Politiske forhold</w:t>
            </w:r>
          </w:p>
          <w:p w:rsidR="00FC44E3" w:rsidRPr="00A2200E" w:rsidRDefault="00FC44E3" w:rsidP="008B0EF4">
            <w:pPr>
              <w:spacing w:before="240" w:after="240"/>
              <w:ind w:left="80" w:right="80"/>
              <w:rPr>
                <w:b/>
                <w:sz w:val="24"/>
                <w:szCs w:val="30"/>
              </w:rPr>
            </w:pPr>
            <w:r w:rsidRPr="00A2200E">
              <w:rPr>
                <w:b/>
                <w:sz w:val="24"/>
                <w:szCs w:val="30"/>
              </w:rPr>
              <w:t>Sociale forhold</w:t>
            </w:r>
          </w:p>
          <w:p w:rsidR="00FC44E3" w:rsidRPr="00A2200E" w:rsidRDefault="00FC44E3" w:rsidP="008B0EF4">
            <w:pPr>
              <w:spacing w:before="240" w:after="240"/>
              <w:ind w:left="80" w:right="80"/>
              <w:rPr>
                <w:b/>
                <w:sz w:val="24"/>
                <w:szCs w:val="30"/>
              </w:rPr>
            </w:pPr>
            <w:r w:rsidRPr="00A2200E">
              <w:rPr>
                <w:b/>
                <w:sz w:val="24"/>
                <w:szCs w:val="30"/>
              </w:rPr>
              <w:t>Ideologiske forhold</w:t>
            </w:r>
          </w:p>
        </w:tc>
      </w:tr>
      <w:tr w:rsidR="00FC44E3" w:rsidTr="00A2200E">
        <w:trPr>
          <w:trHeight w:val="890"/>
        </w:trPr>
        <w:tc>
          <w:tcPr>
            <w:tcW w:w="812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C44E3" w:rsidRPr="00A2200E" w:rsidRDefault="00FC44E3" w:rsidP="008B0EF4">
            <w:pPr>
              <w:spacing w:before="240" w:after="240"/>
              <w:ind w:right="80"/>
              <w:rPr>
                <w:b/>
                <w:sz w:val="24"/>
                <w:szCs w:val="30"/>
              </w:rPr>
            </w:pPr>
            <w:r w:rsidRPr="00A2200E">
              <w:rPr>
                <w:b/>
                <w:sz w:val="24"/>
                <w:szCs w:val="30"/>
              </w:rPr>
              <w:t xml:space="preserve">Sammenfat forklaringen på Hitlers magtovertagelse i en af følgende formater: </w:t>
            </w:r>
          </w:p>
          <w:p w:rsidR="00FC44E3" w:rsidRPr="00A2200E" w:rsidRDefault="00FC44E3" w:rsidP="008B0EF4">
            <w:pPr>
              <w:spacing w:before="240" w:after="240"/>
              <w:ind w:right="80"/>
              <w:rPr>
                <w:b/>
                <w:sz w:val="24"/>
                <w:szCs w:val="30"/>
              </w:rPr>
            </w:pPr>
            <w:r w:rsidRPr="00A2200E">
              <w:rPr>
                <w:b/>
                <w:sz w:val="24"/>
                <w:szCs w:val="30"/>
              </w:rPr>
              <w:br/>
              <w:t>En skriftlig ekspertanalyse til bladet ”</w:t>
            </w:r>
            <w:proofErr w:type="spellStart"/>
            <w:r w:rsidRPr="00A2200E">
              <w:rPr>
                <w:b/>
                <w:sz w:val="24"/>
                <w:szCs w:val="30"/>
              </w:rPr>
              <w:t>RG’s</w:t>
            </w:r>
            <w:proofErr w:type="spellEnd"/>
            <w:r w:rsidRPr="00A2200E">
              <w:rPr>
                <w:b/>
                <w:sz w:val="24"/>
                <w:szCs w:val="30"/>
              </w:rPr>
              <w:t xml:space="preserve"> historieblad”</w:t>
            </w:r>
          </w:p>
          <w:p w:rsidR="00FC44E3" w:rsidRPr="00A2200E" w:rsidRDefault="00FC44E3" w:rsidP="008B0EF4">
            <w:pPr>
              <w:spacing w:before="240" w:after="240"/>
              <w:ind w:right="80"/>
              <w:rPr>
                <w:b/>
                <w:sz w:val="24"/>
                <w:szCs w:val="30"/>
              </w:rPr>
            </w:pPr>
            <w:r w:rsidRPr="00A2200E">
              <w:rPr>
                <w:b/>
                <w:sz w:val="24"/>
                <w:szCs w:val="30"/>
              </w:rPr>
              <w:t xml:space="preserve">En kort mundtlig præsentation til </w:t>
            </w:r>
            <w:proofErr w:type="spellStart"/>
            <w:r w:rsidRPr="00A2200E">
              <w:rPr>
                <w:b/>
                <w:sz w:val="24"/>
                <w:szCs w:val="30"/>
              </w:rPr>
              <w:t>RG’s</w:t>
            </w:r>
            <w:proofErr w:type="spellEnd"/>
            <w:r w:rsidRPr="00A2200E">
              <w:rPr>
                <w:b/>
                <w:sz w:val="24"/>
                <w:szCs w:val="30"/>
              </w:rPr>
              <w:t xml:space="preserve"> podcast ”Historietimen”</w:t>
            </w:r>
          </w:p>
        </w:tc>
      </w:tr>
    </w:tbl>
    <w:p w:rsidR="00FC44E3" w:rsidRDefault="00FC44E3" w:rsidP="000F6A48"/>
    <w:p w:rsidR="00FC44E3" w:rsidRDefault="00FC44E3" w:rsidP="000F6A48"/>
    <w:p w:rsidR="00FC44E3" w:rsidRDefault="00FC44E3" w:rsidP="000F6A48"/>
    <w:p w:rsidR="00FC44E3" w:rsidRDefault="00FC44E3" w:rsidP="00FC44E3">
      <w:pPr>
        <w:pStyle w:val="Overskrift2"/>
      </w:pPr>
      <w:r>
        <w:t xml:space="preserve">Sekvens 5 – Kilde: Bemyndigelsesloven. </w:t>
      </w:r>
    </w:p>
    <w:p w:rsidR="00FC44E3" w:rsidRDefault="00FC44E3" w:rsidP="00FC44E3"/>
    <w:p w:rsidR="00FC44E3" w:rsidRDefault="00FC44E3" w:rsidP="00FC44E3">
      <w:r>
        <w:t xml:space="preserve">Læs uddraget af bemyndigelsesloven på s. 7 i kompendiet. </w:t>
      </w:r>
    </w:p>
    <w:p w:rsidR="00FC44E3" w:rsidRDefault="00FC44E3" w:rsidP="00FC44E3">
      <w:r>
        <w:t>Og svar desuden på spørgsmålene:</w:t>
      </w:r>
    </w:p>
    <w:p w:rsidR="00FC44E3" w:rsidRPr="00FC44E3" w:rsidRDefault="00FC44E3" w:rsidP="00FC44E3">
      <w:pPr>
        <w:numPr>
          <w:ilvl w:val="0"/>
          <w:numId w:val="3"/>
        </w:numPr>
        <w:shd w:val="clear" w:color="auto" w:fill="FFFFFF"/>
        <w:spacing w:before="100" w:beforeAutospacing="1" w:after="100" w:afterAutospacing="1" w:line="276" w:lineRule="auto"/>
        <w:rPr>
          <w:rFonts w:eastAsia="Times New Roman" w:cstheme="minorHAnsi"/>
          <w:color w:val="333333"/>
          <w:szCs w:val="26"/>
          <w:lang w:eastAsia="da-DK"/>
        </w:rPr>
      </w:pPr>
      <w:r w:rsidRPr="00FC44E3">
        <w:rPr>
          <w:rFonts w:eastAsia="Times New Roman" w:cstheme="minorHAnsi"/>
          <w:color w:val="333333"/>
          <w:szCs w:val="26"/>
          <w:lang w:eastAsia="da-DK"/>
        </w:rPr>
        <w:t>Hvad er kildens tilblivelsessituation</w:t>
      </w:r>
      <w:r>
        <w:rPr>
          <w:rFonts w:eastAsia="Times New Roman" w:cstheme="minorHAnsi"/>
          <w:color w:val="333333"/>
          <w:szCs w:val="26"/>
          <w:lang w:eastAsia="da-DK"/>
        </w:rPr>
        <w:t xml:space="preserve"> og hvilken kildetype er det? </w:t>
      </w:r>
    </w:p>
    <w:p w:rsidR="00FC44E3" w:rsidRPr="00FC44E3" w:rsidRDefault="00FC44E3" w:rsidP="00FC44E3">
      <w:pPr>
        <w:numPr>
          <w:ilvl w:val="0"/>
          <w:numId w:val="3"/>
        </w:numPr>
        <w:shd w:val="clear" w:color="auto" w:fill="FFFFFF"/>
        <w:spacing w:before="100" w:beforeAutospacing="1" w:after="100" w:afterAutospacing="1" w:line="276" w:lineRule="auto"/>
        <w:rPr>
          <w:rFonts w:eastAsia="Times New Roman" w:cstheme="minorHAnsi"/>
          <w:color w:val="333333"/>
          <w:szCs w:val="26"/>
          <w:lang w:eastAsia="da-DK"/>
        </w:rPr>
      </w:pPr>
      <w:r w:rsidRPr="00FC44E3">
        <w:rPr>
          <w:rFonts w:eastAsia="Times New Roman" w:cstheme="minorHAnsi"/>
          <w:color w:val="333333"/>
          <w:szCs w:val="26"/>
          <w:lang w:eastAsia="da-DK"/>
        </w:rPr>
        <w:t>Hvordan bryder bemyndigelsesloven med det demokratiske princip om magtens tredeling?</w:t>
      </w:r>
    </w:p>
    <w:p w:rsidR="00FC44E3" w:rsidRPr="00FC44E3" w:rsidRDefault="00FC44E3" w:rsidP="00FC44E3">
      <w:pPr>
        <w:numPr>
          <w:ilvl w:val="0"/>
          <w:numId w:val="3"/>
        </w:numPr>
        <w:shd w:val="clear" w:color="auto" w:fill="FFFFFF"/>
        <w:spacing w:after="0" w:line="276" w:lineRule="auto"/>
        <w:rPr>
          <w:rFonts w:eastAsia="Times New Roman" w:cstheme="minorHAnsi"/>
          <w:color w:val="333333"/>
          <w:szCs w:val="26"/>
          <w:lang w:eastAsia="da-DK"/>
        </w:rPr>
      </w:pPr>
      <w:r w:rsidRPr="00FC44E3">
        <w:rPr>
          <w:rFonts w:eastAsia="Times New Roman" w:cstheme="minorHAnsi"/>
          <w:color w:val="333333"/>
          <w:szCs w:val="26"/>
          <w:lang w:eastAsia="da-DK"/>
        </w:rPr>
        <w:t>Vurdér bemyndigelseslovens betydning for Tysklands overgang fra demokrati til diktatur.</w:t>
      </w:r>
    </w:p>
    <w:p w:rsidR="00FC44E3" w:rsidRPr="00FC44E3" w:rsidRDefault="00FC44E3" w:rsidP="00FC44E3"/>
    <w:sectPr w:rsidR="00FC44E3" w:rsidRPr="00FC44E3">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A18" w:rsidRDefault="00393A18" w:rsidP="00A2200E">
      <w:pPr>
        <w:spacing w:after="0" w:line="240" w:lineRule="auto"/>
      </w:pPr>
      <w:r>
        <w:separator/>
      </w:r>
    </w:p>
  </w:endnote>
  <w:endnote w:type="continuationSeparator" w:id="0">
    <w:p w:rsidR="00393A18" w:rsidRDefault="00393A18" w:rsidP="00A22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396360"/>
      <w:docPartObj>
        <w:docPartGallery w:val="Page Numbers (Bottom of Page)"/>
        <w:docPartUnique/>
      </w:docPartObj>
    </w:sdtPr>
    <w:sdtEndPr/>
    <w:sdtContent>
      <w:p w:rsidR="00A2200E" w:rsidRDefault="00A2200E">
        <w:pPr>
          <w:pStyle w:val="Sidefod"/>
          <w:jc w:val="right"/>
        </w:pPr>
        <w:r>
          <w:fldChar w:fldCharType="begin"/>
        </w:r>
        <w:r>
          <w:instrText>PAGE   \* MERGEFORMAT</w:instrText>
        </w:r>
        <w:r>
          <w:fldChar w:fldCharType="separate"/>
        </w:r>
        <w:r w:rsidR="001F0603">
          <w:rPr>
            <w:noProof/>
          </w:rPr>
          <w:t>4</w:t>
        </w:r>
        <w:r>
          <w:fldChar w:fldCharType="end"/>
        </w:r>
      </w:p>
    </w:sdtContent>
  </w:sdt>
  <w:p w:rsidR="00A2200E" w:rsidRDefault="00A2200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A18" w:rsidRDefault="00393A18" w:rsidP="00A2200E">
      <w:pPr>
        <w:spacing w:after="0" w:line="240" w:lineRule="auto"/>
      </w:pPr>
      <w:r>
        <w:separator/>
      </w:r>
    </w:p>
  </w:footnote>
  <w:footnote w:type="continuationSeparator" w:id="0">
    <w:p w:rsidR="00393A18" w:rsidRDefault="00393A18" w:rsidP="00A22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905D2"/>
    <w:multiLevelType w:val="multilevel"/>
    <w:tmpl w:val="16A40D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E8F58D2"/>
    <w:multiLevelType w:val="multilevel"/>
    <w:tmpl w:val="71960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434B90"/>
    <w:multiLevelType w:val="hybridMultilevel"/>
    <w:tmpl w:val="D40A0CC4"/>
    <w:lvl w:ilvl="0" w:tplc="05E0D28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48"/>
    <w:rsid w:val="000F6A48"/>
    <w:rsid w:val="001F0603"/>
    <w:rsid w:val="00393A18"/>
    <w:rsid w:val="004A611F"/>
    <w:rsid w:val="00A2200E"/>
    <w:rsid w:val="00A976E2"/>
    <w:rsid w:val="00C73462"/>
    <w:rsid w:val="00FC44E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73931"/>
  <w15:chartTrackingRefBased/>
  <w15:docId w15:val="{BF82734B-160F-4B78-B5F9-EFD399E9F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A220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0F6A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F6A48"/>
    <w:pPr>
      <w:ind w:left="720"/>
      <w:contextualSpacing/>
    </w:pPr>
  </w:style>
  <w:style w:type="character" w:customStyle="1" w:styleId="Overskrift2Tegn">
    <w:name w:val="Overskrift 2 Tegn"/>
    <w:basedOn w:val="Standardskrifttypeiafsnit"/>
    <w:link w:val="Overskrift2"/>
    <w:uiPriority w:val="9"/>
    <w:rsid w:val="000F6A48"/>
    <w:rPr>
      <w:rFonts w:asciiTheme="majorHAnsi" w:eastAsiaTheme="majorEastAsia" w:hAnsiTheme="majorHAnsi" w:cstheme="majorBidi"/>
      <w:color w:val="2E74B5" w:themeColor="accent1" w:themeShade="BF"/>
      <w:sz w:val="26"/>
      <w:szCs w:val="26"/>
    </w:rPr>
  </w:style>
  <w:style w:type="character" w:customStyle="1" w:styleId="Overskrift1Tegn">
    <w:name w:val="Overskrift 1 Tegn"/>
    <w:basedOn w:val="Standardskrifttypeiafsnit"/>
    <w:link w:val="Overskrift1"/>
    <w:uiPriority w:val="9"/>
    <w:rsid w:val="00A2200E"/>
    <w:rPr>
      <w:rFonts w:asciiTheme="majorHAnsi" w:eastAsiaTheme="majorEastAsia" w:hAnsiTheme="majorHAnsi" w:cstheme="majorBidi"/>
      <w:color w:val="2E74B5" w:themeColor="accent1" w:themeShade="BF"/>
      <w:sz w:val="32"/>
      <w:szCs w:val="32"/>
    </w:rPr>
  </w:style>
  <w:style w:type="paragraph" w:styleId="Sidehoved">
    <w:name w:val="header"/>
    <w:basedOn w:val="Normal"/>
    <w:link w:val="SidehovedTegn"/>
    <w:uiPriority w:val="99"/>
    <w:unhideWhenUsed/>
    <w:rsid w:val="00A2200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2200E"/>
  </w:style>
  <w:style w:type="paragraph" w:styleId="Sidefod">
    <w:name w:val="footer"/>
    <w:basedOn w:val="Normal"/>
    <w:link w:val="SidefodTegn"/>
    <w:uiPriority w:val="99"/>
    <w:unhideWhenUsed/>
    <w:rsid w:val="00A2200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22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16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hmm.org/learn/holocaust/the-path-to-nazi-genocid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724</Words>
  <Characters>4420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RGE</dc:creator>
  <cp:keywords/>
  <dc:description/>
  <cp:lastModifiedBy>RGE</cp:lastModifiedBy>
  <cp:revision>3</cp:revision>
  <dcterms:created xsi:type="dcterms:W3CDTF">2025-08-26T07:54:00Z</dcterms:created>
  <dcterms:modified xsi:type="dcterms:W3CDTF">2025-08-26T08:26:00Z</dcterms:modified>
</cp:coreProperties>
</file>