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20BDE" w:rsidRPr="0099741D" w:rsidRDefault="00C20BDE">
      <w:pPr>
        <w:rPr>
          <w:rFonts w:ascii="Garamond" w:eastAsia="Garamond" w:hAnsi="Garamond" w:cs="Garamond"/>
          <w:sz w:val="28"/>
          <w:szCs w:val="28"/>
          <w:highlight w:val="white"/>
        </w:rPr>
      </w:pPr>
    </w:p>
    <w:p w14:paraId="00000002" w14:textId="77777777" w:rsidR="00C20BDE" w:rsidRPr="0099741D" w:rsidRDefault="00C20BDE">
      <w:pPr>
        <w:rPr>
          <w:rFonts w:ascii="Garamond" w:eastAsia="Garamond" w:hAnsi="Garamond" w:cs="Garamond"/>
          <w:sz w:val="28"/>
          <w:szCs w:val="28"/>
          <w:highlight w:val="white"/>
        </w:rPr>
      </w:pPr>
    </w:p>
    <w:p w14:paraId="00000003" w14:textId="77777777" w:rsidR="00C20BDE" w:rsidRPr="0099741D" w:rsidRDefault="001972E6">
      <w:pPr>
        <w:rPr>
          <w:rFonts w:ascii="Garamond" w:eastAsia="Garamond" w:hAnsi="Garamond" w:cs="Garamond"/>
          <w:b/>
          <w:sz w:val="28"/>
          <w:szCs w:val="28"/>
          <w:highlight w:val="white"/>
        </w:rPr>
      </w:pPr>
      <w:r w:rsidRPr="0099741D">
        <w:rPr>
          <w:rFonts w:ascii="Garamond" w:eastAsia="Garamond" w:hAnsi="Garamond" w:cs="Garamond"/>
          <w:b/>
          <w:sz w:val="28"/>
          <w:szCs w:val="28"/>
          <w:highlight w:val="white"/>
        </w:rPr>
        <w:t>Arbejdsspørgsmål til “På Sneen”:</w:t>
      </w:r>
    </w:p>
    <w:p w14:paraId="00000004" w14:textId="77777777" w:rsidR="00C20BDE" w:rsidRPr="0099741D" w:rsidRDefault="00C20BDE">
      <w:pPr>
        <w:rPr>
          <w:rFonts w:ascii="Garamond" w:eastAsia="Garamond" w:hAnsi="Garamond" w:cs="Garamond"/>
          <w:sz w:val="28"/>
          <w:szCs w:val="28"/>
          <w:highlight w:val="white"/>
        </w:rPr>
      </w:pPr>
    </w:p>
    <w:p w14:paraId="00000005" w14:textId="77777777" w:rsidR="00C20BDE" w:rsidRPr="0099741D" w:rsidRDefault="001972E6">
      <w:pPr>
        <w:numPr>
          <w:ilvl w:val="0"/>
          <w:numId w:val="1"/>
        </w:numPr>
        <w:rPr>
          <w:rFonts w:ascii="Garamond" w:eastAsia="Garamond" w:hAnsi="Garamond" w:cs="Garamond"/>
          <w:sz w:val="28"/>
          <w:szCs w:val="28"/>
          <w:highlight w:val="white"/>
        </w:rPr>
      </w:pPr>
      <w:r w:rsidRPr="0099741D">
        <w:rPr>
          <w:rFonts w:ascii="Garamond" w:eastAsia="Garamond" w:hAnsi="Garamond" w:cs="Garamond"/>
          <w:sz w:val="28"/>
          <w:szCs w:val="28"/>
          <w:highlight w:val="white"/>
        </w:rPr>
        <w:t>Hvad sker der på det konkrete plan i digtet?</w:t>
      </w:r>
    </w:p>
    <w:p w14:paraId="17630139" w14:textId="77777777" w:rsidR="0099741D" w:rsidRPr="0099741D" w:rsidRDefault="0099741D" w:rsidP="0099741D">
      <w:pPr>
        <w:rPr>
          <w:rFonts w:ascii="Garamond" w:eastAsia="Garamond" w:hAnsi="Garamond" w:cs="Garamond"/>
          <w:sz w:val="28"/>
          <w:szCs w:val="28"/>
          <w:highlight w:val="white"/>
        </w:rPr>
      </w:pPr>
    </w:p>
    <w:p w14:paraId="4C329D6E" w14:textId="77777777" w:rsidR="0099741D" w:rsidRPr="0099741D" w:rsidRDefault="0099741D" w:rsidP="0099741D">
      <w:pPr>
        <w:numPr>
          <w:ilvl w:val="0"/>
          <w:numId w:val="1"/>
        </w:numPr>
        <w:rPr>
          <w:rFonts w:ascii="Garamond" w:eastAsia="Garamond" w:hAnsi="Garamond" w:cs="Garamond"/>
          <w:sz w:val="28"/>
          <w:szCs w:val="28"/>
          <w:highlight w:val="white"/>
        </w:rPr>
      </w:pPr>
      <w:r w:rsidRPr="0099741D">
        <w:rPr>
          <w:rFonts w:ascii="Garamond" w:eastAsia="Garamond" w:hAnsi="Garamond" w:cs="Garamond"/>
          <w:sz w:val="28"/>
          <w:szCs w:val="28"/>
          <w:highlight w:val="white"/>
        </w:rPr>
        <w:t xml:space="preserve">Hvordan fremstår </w:t>
      </w:r>
      <w:proofErr w:type="spellStart"/>
      <w:r w:rsidRPr="0099741D">
        <w:rPr>
          <w:rFonts w:ascii="Garamond" w:eastAsia="Garamond" w:hAnsi="Garamond" w:cs="Garamond"/>
          <w:sz w:val="28"/>
          <w:szCs w:val="28"/>
          <w:highlight w:val="white"/>
        </w:rPr>
        <w:t>jeg’et</w:t>
      </w:r>
      <w:proofErr w:type="spellEnd"/>
      <w:r w:rsidRPr="0099741D">
        <w:rPr>
          <w:rFonts w:ascii="Garamond" w:eastAsia="Garamond" w:hAnsi="Garamond" w:cs="Garamond"/>
          <w:sz w:val="28"/>
          <w:szCs w:val="28"/>
          <w:highlight w:val="white"/>
        </w:rPr>
        <w:t xml:space="preserve">, og hvad lægger han mærke til, når han betragter kvinden? </w:t>
      </w:r>
    </w:p>
    <w:p w14:paraId="2573807F" w14:textId="77777777" w:rsidR="0099741D" w:rsidRPr="0099741D" w:rsidRDefault="0099741D" w:rsidP="0099741D">
      <w:pPr>
        <w:ind w:left="720"/>
        <w:rPr>
          <w:rFonts w:ascii="Garamond" w:eastAsia="Garamond" w:hAnsi="Garamond" w:cs="Garamond"/>
          <w:sz w:val="28"/>
          <w:szCs w:val="28"/>
          <w:highlight w:val="white"/>
        </w:rPr>
      </w:pPr>
    </w:p>
    <w:p w14:paraId="00000007" w14:textId="5F4E2331" w:rsidR="00C20BDE" w:rsidRPr="0099741D" w:rsidRDefault="001972E6">
      <w:pPr>
        <w:numPr>
          <w:ilvl w:val="0"/>
          <w:numId w:val="1"/>
        </w:numPr>
        <w:rPr>
          <w:rFonts w:ascii="Garamond" w:eastAsia="Garamond" w:hAnsi="Garamond" w:cs="Garamond"/>
          <w:sz w:val="28"/>
          <w:szCs w:val="28"/>
          <w:highlight w:val="white"/>
        </w:rPr>
      </w:pPr>
      <w:r w:rsidRPr="0099741D">
        <w:rPr>
          <w:rFonts w:ascii="Garamond" w:eastAsia="Garamond" w:hAnsi="Garamond" w:cs="Garamond"/>
          <w:sz w:val="28"/>
          <w:szCs w:val="28"/>
          <w:highlight w:val="white"/>
        </w:rPr>
        <w:t xml:space="preserve">Læs baggrundsinformation om Romantismen nedenunder. Undersøg </w:t>
      </w:r>
      <w:r w:rsidR="0099741D" w:rsidRPr="0099741D">
        <w:rPr>
          <w:rFonts w:ascii="Garamond" w:eastAsia="Garamond" w:hAnsi="Garamond" w:cs="Garamond"/>
          <w:sz w:val="28"/>
          <w:szCs w:val="28"/>
          <w:highlight w:val="white"/>
        </w:rPr>
        <w:t xml:space="preserve">digtet: Hvem er </w:t>
      </w:r>
      <w:proofErr w:type="spellStart"/>
      <w:r w:rsidR="0099741D" w:rsidRPr="0099741D">
        <w:rPr>
          <w:rFonts w:ascii="Garamond" w:eastAsia="Garamond" w:hAnsi="Garamond" w:cs="Garamond"/>
          <w:sz w:val="28"/>
          <w:szCs w:val="28"/>
          <w:highlight w:val="white"/>
        </w:rPr>
        <w:t>jeg’et</w:t>
      </w:r>
      <w:proofErr w:type="spellEnd"/>
      <w:r w:rsidR="0099741D" w:rsidRPr="0099741D">
        <w:rPr>
          <w:rFonts w:ascii="Garamond" w:eastAsia="Garamond" w:hAnsi="Garamond" w:cs="Garamond"/>
          <w:sz w:val="28"/>
          <w:szCs w:val="28"/>
          <w:highlight w:val="white"/>
        </w:rPr>
        <w:t xml:space="preserve"> og skyggen?</w:t>
      </w:r>
      <w:r w:rsidR="0099741D">
        <w:rPr>
          <w:rFonts w:ascii="Garamond" w:eastAsia="Garamond" w:hAnsi="Garamond" w:cs="Garamond"/>
          <w:sz w:val="28"/>
          <w:szCs w:val="28"/>
          <w:highlight w:val="white"/>
        </w:rPr>
        <w:t xml:space="preserve"> Hvad repræsenterer skyggen?</w:t>
      </w:r>
    </w:p>
    <w:p w14:paraId="0000000A" w14:textId="77777777" w:rsidR="00C20BDE" w:rsidRPr="0099741D" w:rsidRDefault="00C20BDE">
      <w:pPr>
        <w:ind w:left="720"/>
        <w:rPr>
          <w:rFonts w:ascii="Garamond" w:eastAsia="Garamond" w:hAnsi="Garamond" w:cs="Garamond"/>
          <w:sz w:val="28"/>
          <w:szCs w:val="28"/>
          <w:highlight w:val="white"/>
        </w:rPr>
      </w:pPr>
    </w:p>
    <w:p w14:paraId="0000000C" w14:textId="6B11C921" w:rsidR="00C20BDE" w:rsidRPr="001972E6" w:rsidRDefault="001972E6" w:rsidP="001972E6">
      <w:pPr>
        <w:numPr>
          <w:ilvl w:val="0"/>
          <w:numId w:val="1"/>
        </w:numPr>
        <w:rPr>
          <w:rFonts w:ascii="Garamond" w:eastAsia="Garamond" w:hAnsi="Garamond" w:cs="Garamond"/>
          <w:sz w:val="28"/>
          <w:szCs w:val="28"/>
          <w:highlight w:val="white"/>
        </w:rPr>
      </w:pPr>
      <w:r w:rsidRPr="001972E6">
        <w:rPr>
          <w:rFonts w:ascii="Garamond" w:eastAsia="Garamond" w:hAnsi="Garamond" w:cs="Garamond"/>
          <w:sz w:val="28"/>
          <w:szCs w:val="28"/>
          <w:highlight w:val="white"/>
        </w:rPr>
        <w:t>Hvilken tematik er central i digtet?</w:t>
      </w:r>
      <w:r w:rsidRPr="001972E6">
        <w:rPr>
          <w:rFonts w:ascii="Garamond" w:eastAsia="Garamond" w:hAnsi="Garamond" w:cs="Garamond"/>
          <w:sz w:val="28"/>
          <w:szCs w:val="28"/>
          <w:highlight w:val="white"/>
        </w:rPr>
        <w:t xml:space="preserve"> Sammenlign med tematikken i udvalgte digte fra “Bavian”. </w:t>
      </w:r>
    </w:p>
    <w:p w14:paraId="0000000D" w14:textId="77777777" w:rsidR="00C20BDE" w:rsidRPr="0099741D" w:rsidRDefault="00C20BDE">
      <w:pPr>
        <w:ind w:left="720"/>
        <w:rPr>
          <w:rFonts w:ascii="Garamond" w:eastAsia="Garamond" w:hAnsi="Garamond" w:cs="Garamond"/>
          <w:sz w:val="28"/>
          <w:szCs w:val="28"/>
          <w:highlight w:val="white"/>
        </w:rPr>
      </w:pPr>
    </w:p>
    <w:p w14:paraId="0000000E" w14:textId="77777777" w:rsidR="00C20BDE" w:rsidRPr="0099741D" w:rsidRDefault="00C20BDE">
      <w:pPr>
        <w:ind w:left="720"/>
        <w:rPr>
          <w:rFonts w:ascii="Garamond" w:eastAsia="Garamond" w:hAnsi="Garamond" w:cs="Garamond"/>
          <w:sz w:val="28"/>
          <w:szCs w:val="28"/>
          <w:highlight w:val="white"/>
        </w:rPr>
      </w:pPr>
    </w:p>
    <w:p w14:paraId="0000000F" w14:textId="77777777" w:rsidR="00C20BDE" w:rsidRPr="0099741D" w:rsidRDefault="001972E6">
      <w:pPr>
        <w:rPr>
          <w:rFonts w:ascii="Garamond" w:eastAsia="Garamond" w:hAnsi="Garamond" w:cs="Garamond"/>
          <w:sz w:val="28"/>
          <w:szCs w:val="28"/>
          <w:highlight w:val="white"/>
        </w:rPr>
      </w:pPr>
      <w:r w:rsidRPr="0099741D">
        <w:rPr>
          <w:rFonts w:ascii="Garamond" w:eastAsia="Garamond" w:hAnsi="Garamond" w:cs="Garamond"/>
          <w:sz w:val="28"/>
          <w:szCs w:val="28"/>
          <w:highlight w:val="white"/>
        </w:rPr>
        <w:t xml:space="preserve">Baggrundsinformation om Romantismen: </w:t>
      </w:r>
    </w:p>
    <w:p w14:paraId="00000010" w14:textId="590C72C4" w:rsidR="00C20BDE" w:rsidRDefault="001972E6">
      <w:pPr>
        <w:rPr>
          <w:rFonts w:ascii="Garamond" w:eastAsia="Garamond" w:hAnsi="Garamond" w:cs="Garamond"/>
          <w:sz w:val="28"/>
          <w:szCs w:val="28"/>
          <w:highlight w:val="white"/>
        </w:rPr>
      </w:pPr>
      <w:r w:rsidRPr="0099741D">
        <w:rPr>
          <w:rFonts w:ascii="Garamond" w:eastAsia="Garamond" w:hAnsi="Garamond" w:cs="Garamond"/>
          <w:sz w:val="28"/>
          <w:szCs w:val="28"/>
          <w:highlight w:val="white"/>
        </w:rPr>
        <w:t xml:space="preserve">Dobbeltgængermotivet i romantismen (en strømning i romantikken) afspejler den indre personlige splittelse, hvor en persons lyse og mørke sider udspaltes i to figurer/personer. Dette motiv illustrerer </w:t>
      </w:r>
      <w:r w:rsidRPr="0099741D">
        <w:rPr>
          <w:rFonts w:ascii="Garamond" w:eastAsia="Garamond" w:hAnsi="Garamond" w:cs="Garamond"/>
          <w:sz w:val="28"/>
          <w:szCs w:val="28"/>
          <w:highlight w:val="white"/>
        </w:rPr>
        <w:t>ofte, hvordan den undertrykte "onde" side af psyken, som rummer begær og drifter, manifesterer sig som en dæmonisk eller ond dobbeltgænger, der truer med at overtage og ødelægge hovedpersonen, som for eksempel i H.C. Andersens "Skyggen".</w:t>
      </w:r>
    </w:p>
    <w:p w14:paraId="4D9BC0B7" w14:textId="6B3CFB74" w:rsidR="00C719AB" w:rsidRDefault="00C719AB">
      <w:pPr>
        <w:rPr>
          <w:rFonts w:ascii="Garamond" w:eastAsia="Garamond" w:hAnsi="Garamond" w:cs="Garamond"/>
          <w:sz w:val="28"/>
          <w:szCs w:val="28"/>
          <w:highlight w:val="white"/>
        </w:rPr>
      </w:pPr>
    </w:p>
    <w:p w14:paraId="1D877C37" w14:textId="71B5132F" w:rsidR="00C719AB" w:rsidRDefault="00C719AB">
      <w:pPr>
        <w:rPr>
          <w:rFonts w:ascii="Garamond" w:eastAsia="Garamond" w:hAnsi="Garamond" w:cs="Garamond"/>
          <w:sz w:val="28"/>
          <w:szCs w:val="28"/>
          <w:highlight w:val="white"/>
        </w:rPr>
      </w:pPr>
    </w:p>
    <w:p w14:paraId="4AADDDAC" w14:textId="0B1DE308" w:rsidR="00C719AB" w:rsidRDefault="00C719AB">
      <w:pPr>
        <w:rPr>
          <w:rFonts w:ascii="Garamond" w:eastAsia="Garamond" w:hAnsi="Garamond" w:cs="Garamond"/>
          <w:sz w:val="28"/>
          <w:szCs w:val="28"/>
          <w:highlight w:val="white"/>
        </w:rPr>
      </w:pPr>
    </w:p>
    <w:p w14:paraId="149B71B1" w14:textId="2A65473A" w:rsidR="00C719AB" w:rsidRDefault="00C719AB">
      <w:pPr>
        <w:rPr>
          <w:rFonts w:ascii="Garamond" w:eastAsia="Garamond" w:hAnsi="Garamond" w:cs="Garamond"/>
          <w:sz w:val="28"/>
          <w:szCs w:val="28"/>
          <w:highlight w:val="white"/>
        </w:rPr>
      </w:pPr>
    </w:p>
    <w:p w14:paraId="0A6A5131" w14:textId="2BB98577" w:rsidR="00C719AB" w:rsidRDefault="00C719AB">
      <w:pPr>
        <w:rPr>
          <w:rFonts w:ascii="Garamond" w:eastAsia="Garamond" w:hAnsi="Garamond" w:cs="Garamond"/>
          <w:sz w:val="28"/>
          <w:szCs w:val="28"/>
          <w:highlight w:val="white"/>
        </w:rPr>
      </w:pPr>
    </w:p>
    <w:p w14:paraId="0741F6B5" w14:textId="08A23461" w:rsidR="00C719AB" w:rsidRDefault="00C719AB">
      <w:pPr>
        <w:rPr>
          <w:rFonts w:ascii="Garamond" w:eastAsia="Garamond" w:hAnsi="Garamond" w:cs="Garamond"/>
          <w:sz w:val="28"/>
          <w:szCs w:val="28"/>
          <w:highlight w:val="white"/>
        </w:rPr>
      </w:pPr>
    </w:p>
    <w:p w14:paraId="51C030AC" w14:textId="5518229B" w:rsidR="00C719AB" w:rsidRDefault="00C719AB">
      <w:pPr>
        <w:rPr>
          <w:rFonts w:ascii="Garamond" w:eastAsia="Garamond" w:hAnsi="Garamond" w:cs="Garamond"/>
          <w:sz w:val="28"/>
          <w:szCs w:val="28"/>
          <w:highlight w:val="white"/>
        </w:rPr>
      </w:pPr>
    </w:p>
    <w:p w14:paraId="19F47245" w14:textId="51D0925D" w:rsidR="00C719AB" w:rsidRDefault="00C719AB">
      <w:pPr>
        <w:rPr>
          <w:rFonts w:ascii="Garamond" w:eastAsia="Garamond" w:hAnsi="Garamond" w:cs="Garamond"/>
          <w:sz w:val="28"/>
          <w:szCs w:val="28"/>
          <w:highlight w:val="white"/>
        </w:rPr>
      </w:pPr>
    </w:p>
    <w:p w14:paraId="498BD6B2" w14:textId="14B84D7F" w:rsidR="00C719AB" w:rsidRDefault="00C719AB">
      <w:pPr>
        <w:rPr>
          <w:rFonts w:ascii="Garamond" w:eastAsia="Garamond" w:hAnsi="Garamond" w:cs="Garamond"/>
          <w:sz w:val="28"/>
          <w:szCs w:val="28"/>
          <w:highlight w:val="white"/>
        </w:rPr>
      </w:pPr>
    </w:p>
    <w:p w14:paraId="7D81CB03" w14:textId="77563609" w:rsidR="00C719AB" w:rsidRDefault="00C719AB">
      <w:pPr>
        <w:rPr>
          <w:rFonts w:ascii="Garamond" w:eastAsia="Garamond" w:hAnsi="Garamond" w:cs="Garamond"/>
          <w:sz w:val="28"/>
          <w:szCs w:val="28"/>
          <w:highlight w:val="white"/>
        </w:rPr>
      </w:pPr>
    </w:p>
    <w:p w14:paraId="4163F287" w14:textId="325BF73E" w:rsidR="00C719AB" w:rsidRDefault="00C719AB">
      <w:pPr>
        <w:rPr>
          <w:rFonts w:ascii="Garamond" w:eastAsia="Garamond" w:hAnsi="Garamond" w:cs="Garamond"/>
          <w:sz w:val="28"/>
          <w:szCs w:val="28"/>
          <w:highlight w:val="white"/>
        </w:rPr>
      </w:pPr>
    </w:p>
    <w:p w14:paraId="0D28C2F8" w14:textId="24B7229D" w:rsidR="00C719AB" w:rsidRDefault="00C719AB">
      <w:pPr>
        <w:rPr>
          <w:rFonts w:ascii="Garamond" w:eastAsia="Garamond" w:hAnsi="Garamond" w:cs="Garamond"/>
          <w:sz w:val="28"/>
          <w:szCs w:val="28"/>
          <w:highlight w:val="white"/>
        </w:rPr>
      </w:pPr>
    </w:p>
    <w:p w14:paraId="20B7B2DC" w14:textId="425562E3" w:rsidR="001972E6" w:rsidRDefault="001972E6">
      <w:pPr>
        <w:rPr>
          <w:rFonts w:ascii="Garamond" w:eastAsia="Garamond" w:hAnsi="Garamond" w:cs="Garamond"/>
          <w:sz w:val="28"/>
          <w:szCs w:val="28"/>
          <w:highlight w:val="white"/>
        </w:rPr>
      </w:pPr>
    </w:p>
    <w:p w14:paraId="60BF6472" w14:textId="77777777" w:rsidR="001972E6" w:rsidRDefault="001972E6">
      <w:pPr>
        <w:rPr>
          <w:rFonts w:ascii="Garamond" w:eastAsia="Garamond" w:hAnsi="Garamond" w:cs="Garamond"/>
          <w:sz w:val="28"/>
          <w:szCs w:val="28"/>
          <w:highlight w:val="white"/>
        </w:rPr>
      </w:pPr>
    </w:p>
    <w:p w14:paraId="0CF7D156" w14:textId="1A2683B8" w:rsidR="00C719AB" w:rsidRDefault="00C719AB">
      <w:pPr>
        <w:rPr>
          <w:rFonts w:ascii="Garamond" w:eastAsia="Garamond" w:hAnsi="Garamond" w:cs="Garamond"/>
          <w:sz w:val="28"/>
          <w:szCs w:val="28"/>
          <w:highlight w:val="white"/>
        </w:rPr>
      </w:pPr>
    </w:p>
    <w:p w14:paraId="5297FB84" w14:textId="7DA662C8" w:rsidR="00C719AB" w:rsidRPr="001972E6" w:rsidRDefault="001972E6">
      <w:pPr>
        <w:rPr>
          <w:rFonts w:ascii="Garamond" w:eastAsia="Garamond" w:hAnsi="Garamond" w:cs="Garamond"/>
          <w:b/>
          <w:sz w:val="28"/>
          <w:szCs w:val="28"/>
          <w:highlight w:val="white"/>
        </w:rPr>
      </w:pPr>
      <w:r w:rsidRPr="001972E6">
        <w:rPr>
          <w:rFonts w:ascii="Garamond" w:eastAsia="Garamond" w:hAnsi="Garamond" w:cs="Garamond"/>
          <w:b/>
          <w:sz w:val="28"/>
          <w:szCs w:val="28"/>
          <w:highlight w:val="white"/>
        </w:rPr>
        <w:lastRenderedPageBreak/>
        <w:t>Arbejdsspørgsmål til ”Raad til unge Ægtemænd”</w:t>
      </w:r>
    </w:p>
    <w:p w14:paraId="207D8E32" w14:textId="0BC4DFEC" w:rsidR="00C719AB" w:rsidRDefault="00C719AB">
      <w:pPr>
        <w:rPr>
          <w:rFonts w:ascii="Garamond" w:eastAsia="Garamond" w:hAnsi="Garamond" w:cs="Garamond"/>
          <w:sz w:val="28"/>
          <w:szCs w:val="28"/>
          <w:highlight w:val="white"/>
        </w:rPr>
      </w:pPr>
    </w:p>
    <w:p w14:paraId="1ACF065A" w14:textId="67FD0727" w:rsidR="00C719AB" w:rsidRDefault="00C719AB" w:rsidP="00C719AB">
      <w:pPr>
        <w:pStyle w:val="Listeafsnit"/>
        <w:numPr>
          <w:ilvl w:val="0"/>
          <w:numId w:val="2"/>
        </w:numPr>
        <w:rPr>
          <w:rFonts w:ascii="Garamond" w:eastAsia="Garamond" w:hAnsi="Garamond" w:cs="Garamond"/>
          <w:sz w:val="28"/>
          <w:szCs w:val="28"/>
          <w:highlight w:val="white"/>
        </w:rPr>
      </w:pPr>
      <w:r>
        <w:rPr>
          <w:rFonts w:ascii="Garamond" w:eastAsia="Garamond" w:hAnsi="Garamond" w:cs="Garamond"/>
          <w:sz w:val="28"/>
          <w:szCs w:val="28"/>
          <w:highlight w:val="white"/>
        </w:rPr>
        <w:t>Digtet titlen indikerer, at der ægteskabsråd. Prøv at lave en liste over de ægteskabsråd, som digterjeget giver.</w:t>
      </w:r>
    </w:p>
    <w:p w14:paraId="71084F96" w14:textId="77777777" w:rsidR="00C719AB" w:rsidRDefault="00C719AB" w:rsidP="00C719AB">
      <w:pPr>
        <w:pStyle w:val="Listeafsnit"/>
        <w:rPr>
          <w:rFonts w:ascii="Garamond" w:eastAsia="Garamond" w:hAnsi="Garamond" w:cs="Garamond"/>
          <w:sz w:val="28"/>
          <w:szCs w:val="28"/>
          <w:highlight w:val="white"/>
        </w:rPr>
      </w:pPr>
    </w:p>
    <w:p w14:paraId="0C9DC4F9" w14:textId="57799886" w:rsidR="00C719AB" w:rsidRDefault="00C719AB" w:rsidP="00C719AB">
      <w:pPr>
        <w:pStyle w:val="Listeafsnit"/>
        <w:numPr>
          <w:ilvl w:val="0"/>
          <w:numId w:val="2"/>
        </w:numPr>
        <w:rPr>
          <w:rFonts w:ascii="Garamond" w:eastAsia="Garamond" w:hAnsi="Garamond" w:cs="Garamond"/>
          <w:sz w:val="28"/>
          <w:szCs w:val="28"/>
          <w:highlight w:val="white"/>
        </w:rPr>
      </w:pPr>
      <w:r>
        <w:rPr>
          <w:rFonts w:ascii="Garamond" w:eastAsia="Garamond" w:hAnsi="Garamond" w:cs="Garamond"/>
          <w:sz w:val="28"/>
          <w:szCs w:val="28"/>
          <w:highlight w:val="white"/>
        </w:rPr>
        <w:t>Hvem tror I, at ægteskabsrådene gives til? Menes det alvorligt, eller er det mon satire?</w:t>
      </w:r>
      <w:r w:rsidR="001972E6">
        <w:rPr>
          <w:rFonts w:ascii="Garamond" w:eastAsia="Garamond" w:hAnsi="Garamond" w:cs="Garamond"/>
          <w:sz w:val="28"/>
          <w:szCs w:val="28"/>
          <w:highlight w:val="white"/>
        </w:rPr>
        <w:t xml:space="preserve"> (Læs</w:t>
      </w:r>
      <w:bookmarkStart w:id="0" w:name="_GoBack"/>
      <w:bookmarkEnd w:id="0"/>
      <w:r w:rsidR="001972E6">
        <w:rPr>
          <w:rFonts w:ascii="Garamond" w:eastAsia="Garamond" w:hAnsi="Garamond" w:cs="Garamond"/>
          <w:sz w:val="28"/>
          <w:szCs w:val="28"/>
          <w:highlight w:val="white"/>
        </w:rPr>
        <w:t xml:space="preserve"> baggrundsinformation herunder)</w:t>
      </w:r>
    </w:p>
    <w:p w14:paraId="35EB175A" w14:textId="77777777" w:rsidR="001972E6" w:rsidRPr="001972E6" w:rsidRDefault="001972E6" w:rsidP="001972E6">
      <w:pPr>
        <w:pStyle w:val="Listeafsnit"/>
        <w:rPr>
          <w:rFonts w:ascii="Garamond" w:eastAsia="Garamond" w:hAnsi="Garamond" w:cs="Garamond"/>
          <w:sz w:val="28"/>
          <w:szCs w:val="28"/>
          <w:highlight w:val="white"/>
        </w:rPr>
      </w:pPr>
    </w:p>
    <w:p w14:paraId="43F68F33" w14:textId="77777777" w:rsidR="001972E6" w:rsidRPr="001972E6" w:rsidRDefault="001972E6" w:rsidP="001972E6">
      <w:pPr>
        <w:numPr>
          <w:ilvl w:val="0"/>
          <w:numId w:val="1"/>
        </w:numPr>
        <w:rPr>
          <w:rFonts w:ascii="Garamond" w:eastAsia="Garamond" w:hAnsi="Garamond" w:cs="Garamond"/>
          <w:sz w:val="28"/>
          <w:szCs w:val="28"/>
          <w:highlight w:val="white"/>
        </w:rPr>
      </w:pPr>
      <w:r w:rsidRPr="001972E6">
        <w:rPr>
          <w:rFonts w:ascii="Garamond" w:eastAsia="Garamond" w:hAnsi="Garamond" w:cs="Garamond"/>
          <w:sz w:val="28"/>
          <w:szCs w:val="28"/>
          <w:highlight w:val="white"/>
        </w:rPr>
        <w:t xml:space="preserve">Hvilken tematik er central i digtet? Sammenlign med tematikken i udvalgte digte fra “Bavian”. </w:t>
      </w:r>
    </w:p>
    <w:p w14:paraId="46C60643" w14:textId="297D5C48" w:rsidR="001972E6" w:rsidRDefault="001972E6" w:rsidP="001972E6">
      <w:pPr>
        <w:ind w:left="360"/>
        <w:rPr>
          <w:rFonts w:ascii="Garamond" w:eastAsia="Garamond" w:hAnsi="Garamond" w:cs="Garamond"/>
          <w:sz w:val="28"/>
          <w:szCs w:val="28"/>
          <w:highlight w:val="white"/>
        </w:rPr>
      </w:pPr>
    </w:p>
    <w:p w14:paraId="4F45BE15" w14:textId="074111CE" w:rsidR="001972E6" w:rsidRDefault="001972E6" w:rsidP="001972E6">
      <w:pPr>
        <w:pStyle w:val="NormalWeb"/>
        <w:shd w:val="clear" w:color="auto" w:fill="FFFFFF"/>
        <w:spacing w:before="0" w:after="0"/>
        <w:rPr>
          <w:rFonts w:ascii="Arial" w:hAnsi="Arial" w:cs="Arial"/>
          <w:color w:val="333333"/>
          <w:sz w:val="26"/>
          <w:szCs w:val="26"/>
        </w:rPr>
      </w:pPr>
      <w:r>
        <w:rPr>
          <w:rFonts w:ascii="Arial" w:hAnsi="Arial" w:cs="Arial"/>
          <w:color w:val="333333"/>
          <w:sz w:val="26"/>
          <w:szCs w:val="26"/>
        </w:rPr>
        <w:t>Baggrundsinformation om digtet:</w:t>
      </w:r>
    </w:p>
    <w:p w14:paraId="406098A6" w14:textId="55BD03C0" w:rsidR="001972E6" w:rsidRDefault="001972E6" w:rsidP="001972E6">
      <w:pPr>
        <w:pStyle w:val="NormalWeb"/>
        <w:shd w:val="clear" w:color="auto" w:fill="FFFFFF"/>
        <w:spacing w:before="0" w:after="0"/>
        <w:rPr>
          <w:rFonts w:ascii="Arial" w:hAnsi="Arial" w:cs="Arial"/>
          <w:color w:val="333333"/>
          <w:sz w:val="26"/>
          <w:szCs w:val="26"/>
        </w:rPr>
      </w:pPr>
      <w:r>
        <w:rPr>
          <w:rFonts w:ascii="Arial" w:hAnsi="Arial" w:cs="Arial"/>
          <w:color w:val="333333"/>
          <w:sz w:val="26"/>
          <w:szCs w:val="26"/>
        </w:rPr>
        <w:t>Digtet er skrevet i romantikken af Adam Oehlenschläger (1779-1850), som ellers bedst kendes for sine universalromantiske digte, herunder "Guldhornene" fra 1802, som introducerede romantikken i dansk kontekst. Digtet her har ikke været trykt i Oehlenschlägers samtid, men har formentlig været skrevet til en festlig lejlighed og således været forbeholdt en lukket kreds af Oehlenschlägers bekendte. Først i 1970 blev digtet fundet frem og trykt i </w:t>
      </w:r>
      <w:r>
        <w:rPr>
          <w:rStyle w:val="HTML-citat"/>
          <w:rFonts w:ascii="Arial" w:hAnsi="Arial" w:cs="Arial"/>
          <w:color w:val="333333"/>
          <w:sz w:val="26"/>
          <w:szCs w:val="26"/>
        </w:rPr>
        <w:t>Ekstra Bladet</w:t>
      </w:r>
      <w:r>
        <w:rPr>
          <w:rFonts w:ascii="Arial" w:hAnsi="Arial" w:cs="Arial"/>
          <w:color w:val="333333"/>
          <w:sz w:val="26"/>
          <w:szCs w:val="26"/>
        </w:rPr>
        <w:t> og dermed gjort alment kendt.</w:t>
      </w:r>
    </w:p>
    <w:p w14:paraId="54CCF417" w14:textId="77777777" w:rsidR="001972E6" w:rsidRDefault="001972E6" w:rsidP="001972E6">
      <w:pPr>
        <w:pStyle w:val="Normal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Digtet er imidlertid et bevis på, at romantikken ikke i alle sammenhænge lever op til sit ry for at være snerpet og kropsligt tilbageholdende. Blandt borgerskabets mænd har en mere løssluppen tilgang til seksualitet været legitim, og tildækningen af kvindens krop skabte et enormt potentiale for erotisk pirring i perioden. Digtet falder med sin humoristiske og ligefremme tone omkring det kønslige ind under en ældgammel tradition for beskrivelser af elskovskunsten, og et forbillede har måske været Ovids </w:t>
      </w:r>
      <w:r>
        <w:rPr>
          <w:rStyle w:val="HTML-citat"/>
          <w:rFonts w:ascii="Arial" w:hAnsi="Arial" w:cs="Arial"/>
          <w:color w:val="333333"/>
          <w:sz w:val="26"/>
          <w:szCs w:val="26"/>
        </w:rPr>
        <w:t>Elskovskunst</w:t>
      </w:r>
      <w:r>
        <w:rPr>
          <w:rFonts w:ascii="Arial" w:hAnsi="Arial" w:cs="Arial"/>
          <w:color w:val="333333"/>
          <w:sz w:val="26"/>
          <w:szCs w:val="26"/>
        </w:rPr>
        <w:t> fra ca. 2 e.v.t.</w:t>
      </w:r>
    </w:p>
    <w:p w14:paraId="4949FB17" w14:textId="77777777" w:rsidR="001972E6" w:rsidRPr="001972E6" w:rsidRDefault="001972E6" w:rsidP="001972E6">
      <w:pPr>
        <w:ind w:left="360"/>
        <w:rPr>
          <w:rFonts w:ascii="Garamond" w:eastAsia="Garamond" w:hAnsi="Garamond" w:cs="Garamond"/>
          <w:sz w:val="28"/>
          <w:szCs w:val="28"/>
          <w:highlight w:val="white"/>
        </w:rPr>
      </w:pPr>
    </w:p>
    <w:sectPr w:rsidR="001972E6" w:rsidRPr="001972E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5DEA"/>
    <w:multiLevelType w:val="multilevel"/>
    <w:tmpl w:val="3FC27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774282"/>
    <w:multiLevelType w:val="hybridMultilevel"/>
    <w:tmpl w:val="81FC2C5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DE"/>
    <w:rsid w:val="001972E6"/>
    <w:rsid w:val="0099741D"/>
    <w:rsid w:val="00C20BDE"/>
    <w:rsid w:val="00C719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1C54"/>
  <w15:docId w15:val="{D93E1C00-5443-4C06-AFB8-E651EBAC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Listeafsnit">
    <w:name w:val="List Paragraph"/>
    <w:basedOn w:val="Normal"/>
    <w:uiPriority w:val="34"/>
    <w:qFormat/>
    <w:rsid w:val="0099741D"/>
    <w:pPr>
      <w:ind w:left="720"/>
      <w:contextualSpacing/>
    </w:pPr>
  </w:style>
  <w:style w:type="paragraph" w:styleId="NormalWeb">
    <w:name w:val="Normal (Web)"/>
    <w:basedOn w:val="Normal"/>
    <w:uiPriority w:val="99"/>
    <w:semiHidden/>
    <w:unhideWhenUsed/>
    <w:rsid w:val="001972E6"/>
    <w:pPr>
      <w:spacing w:before="100" w:beforeAutospacing="1" w:after="100" w:afterAutospacing="1" w:line="240" w:lineRule="auto"/>
    </w:pPr>
    <w:rPr>
      <w:rFonts w:ascii="Times New Roman" w:eastAsia="Times New Roman" w:hAnsi="Times New Roman" w:cs="Times New Roman"/>
      <w:sz w:val="24"/>
      <w:szCs w:val="24"/>
      <w:lang w:val="da-DK"/>
    </w:rPr>
  </w:style>
  <w:style w:type="character" w:styleId="HTML-citat">
    <w:name w:val="HTML Cite"/>
    <w:basedOn w:val="Standardskrifttypeiafsnit"/>
    <w:uiPriority w:val="99"/>
    <w:semiHidden/>
    <w:unhideWhenUsed/>
    <w:rsid w:val="001972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23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Borre Dahl Nissen</dc:creator>
  <cp:lastModifiedBy>Mette Borre Dahl Nissen</cp:lastModifiedBy>
  <cp:revision>2</cp:revision>
  <dcterms:created xsi:type="dcterms:W3CDTF">2025-08-27T08:44:00Z</dcterms:created>
  <dcterms:modified xsi:type="dcterms:W3CDTF">2025-08-27T08:44:00Z</dcterms:modified>
</cp:coreProperties>
</file>