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A48" w:rsidRDefault="003A6E8F" w:rsidP="00A2200E">
      <w:pPr>
        <w:pStyle w:val="Overskrift1"/>
      </w:pPr>
      <w:r>
        <w:t>Modul 8</w:t>
      </w:r>
      <w:r w:rsidR="000F6A48">
        <w:t xml:space="preserve"> –</w:t>
      </w:r>
      <w:r w:rsidR="00E956D2">
        <w:t xml:space="preserve"> </w:t>
      </w:r>
      <w:r>
        <w:t>Døden i lejrene</w:t>
      </w:r>
      <w:r w:rsidR="00A976E2">
        <w:tab/>
      </w:r>
    </w:p>
    <w:p w:rsidR="000F6A48" w:rsidRDefault="000F6A48"/>
    <w:p w:rsidR="00150FD2" w:rsidRDefault="00702C8F" w:rsidP="00150FD2">
      <w:pPr>
        <w:spacing w:after="0" w:line="276" w:lineRule="auto"/>
      </w:pPr>
      <w:r w:rsidRPr="00702C8F">
        <w:rPr>
          <w:i/>
        </w:rPr>
        <w:t xml:space="preserve">Dagens fokus: </w:t>
      </w:r>
      <w:r w:rsidR="00150FD2">
        <w:t>Hvordan var drabsprocessen i udryddelseslejrene organiseret?</w:t>
      </w:r>
      <w:r w:rsidR="00150FD2">
        <w:t xml:space="preserve"> </w:t>
      </w:r>
      <w:r w:rsidR="00150FD2">
        <w:br/>
      </w:r>
      <w:r w:rsidR="00150FD2">
        <w:t>Hvilket kendskab havde de allierede til udryddelserne, og hvorfor gjorde de ikke noget?</w:t>
      </w:r>
    </w:p>
    <w:p w:rsidR="00702C8F" w:rsidRPr="00702C8F" w:rsidRDefault="00702C8F" w:rsidP="00702C8F">
      <w:pPr>
        <w:spacing w:after="0" w:line="276" w:lineRule="auto"/>
        <w:rPr>
          <w:i/>
        </w:rPr>
      </w:pPr>
    </w:p>
    <w:p w:rsidR="000F6A48" w:rsidRDefault="000F6A48"/>
    <w:p w:rsidR="000F6A48" w:rsidRDefault="00150FD2">
      <w:r>
        <w:rPr>
          <w:u w:val="single"/>
        </w:rPr>
        <w:t>Materiale</w:t>
      </w:r>
      <w:r w:rsidR="00186ADC" w:rsidRPr="006A051F">
        <w:rPr>
          <w:u w:val="single"/>
        </w:rPr>
        <w:t xml:space="preserve">: </w:t>
      </w:r>
      <w:r w:rsidR="00702C8F">
        <w:t xml:space="preserve">Kompendium s. </w:t>
      </w:r>
      <w:r w:rsidR="001C1859">
        <w:t>42-51</w:t>
      </w:r>
      <w:r w:rsidR="003F6EF9">
        <w:t xml:space="preserve"> (vejen til folkedrab</w:t>
      </w:r>
      <w:r>
        <w:t xml:space="preserve"> kap 13.</w:t>
      </w:r>
      <w:r w:rsidR="001C1859">
        <w:t>)</w:t>
      </w:r>
      <w:bookmarkStart w:id="0" w:name="_GoBack"/>
      <w:bookmarkEnd w:id="0"/>
    </w:p>
    <w:p w:rsidR="00150FD2" w:rsidRPr="00150FD2" w:rsidRDefault="00150FD2" w:rsidP="00150FD2">
      <w:pPr>
        <w:rPr>
          <w:u w:val="single"/>
        </w:rPr>
      </w:pPr>
      <w:r w:rsidRPr="00150FD2">
        <w:rPr>
          <w:u w:val="single"/>
        </w:rPr>
        <w:t>Begreber:</w:t>
      </w:r>
      <w:r w:rsidR="001C1859">
        <w:rPr>
          <w:u w:val="single"/>
        </w:rPr>
        <w:t xml:space="preserve">  </w:t>
      </w:r>
      <w:r w:rsidRPr="00150FD2">
        <w:rPr>
          <w:i/>
        </w:rPr>
        <w:t>KZ-lejre, Udryddelseslejre, Selektion, Gaskamre, Sonderkommando, ’World of choiceless choices’</w:t>
      </w:r>
    </w:p>
    <w:p w:rsidR="003F6EF9" w:rsidRDefault="003F6EF9" w:rsidP="000F6A48"/>
    <w:p w:rsidR="00150FD2" w:rsidRDefault="00150FD2" w:rsidP="000F6A48"/>
    <w:p w:rsidR="000F6A48" w:rsidRPr="00D15C76" w:rsidRDefault="000F6A48" w:rsidP="000F6A48">
      <w:pPr>
        <w:pStyle w:val="Overskrift2"/>
        <w:rPr>
          <w:u w:val="single"/>
        </w:rPr>
      </w:pPr>
      <w:r w:rsidRPr="00D15C76">
        <w:rPr>
          <w:u w:val="single"/>
        </w:rPr>
        <w:t xml:space="preserve">Sekvens 1 – Opsamling </w:t>
      </w:r>
      <w:r w:rsidR="00A2200E" w:rsidRPr="00D15C76">
        <w:rPr>
          <w:u w:val="single"/>
        </w:rPr>
        <w:t>fra sidst</w:t>
      </w:r>
      <w:r w:rsidR="00702C8F">
        <w:rPr>
          <w:u w:val="single"/>
        </w:rPr>
        <w:t>e modul</w:t>
      </w:r>
    </w:p>
    <w:p w:rsidR="00E956D2" w:rsidRDefault="006A051F" w:rsidP="000F6A48">
      <w:r>
        <w:br/>
      </w:r>
      <w:r w:rsidR="00E956D2">
        <w:t>Fælles gennemgang om vigtige begivenheder og begreber</w:t>
      </w:r>
      <w:r w:rsidR="006E57B4">
        <w:t xml:space="preserve"> fra sidste modul</w:t>
      </w:r>
      <w:r w:rsidR="00702C8F">
        <w:t>er</w:t>
      </w:r>
      <w:r w:rsidR="006E57B4">
        <w:t xml:space="preserve">. </w:t>
      </w:r>
    </w:p>
    <w:p w:rsidR="00E956D2" w:rsidRDefault="003F6EF9" w:rsidP="000F6A48">
      <w:r>
        <w:t>Herunder:</w:t>
      </w:r>
    </w:p>
    <w:p w:rsidR="00150FD2" w:rsidRDefault="00150FD2" w:rsidP="00150FD2">
      <w:pPr>
        <w:pStyle w:val="Listeafsnit"/>
        <w:numPr>
          <w:ilvl w:val="0"/>
          <w:numId w:val="24"/>
        </w:numPr>
        <w:spacing w:after="0" w:line="276" w:lineRule="auto"/>
      </w:pPr>
      <w:r>
        <w:t>Hvor opererede einsatzgrupperne og hvad var deres opgave?</w:t>
      </w:r>
    </w:p>
    <w:p w:rsidR="00150FD2" w:rsidRDefault="00150FD2" w:rsidP="00150FD2">
      <w:pPr>
        <w:pStyle w:val="Listeafsnit"/>
        <w:numPr>
          <w:ilvl w:val="0"/>
          <w:numId w:val="24"/>
        </w:numPr>
        <w:spacing w:after="0" w:line="276" w:lineRule="auto"/>
      </w:pPr>
      <w:r>
        <w:t>Hvem var med i einsatzgrupperne?</w:t>
      </w:r>
    </w:p>
    <w:p w:rsidR="00150FD2" w:rsidRDefault="00150FD2" w:rsidP="00150FD2">
      <w:pPr>
        <w:pStyle w:val="Listeafsnit"/>
        <w:numPr>
          <w:ilvl w:val="0"/>
          <w:numId w:val="24"/>
        </w:numPr>
        <w:spacing w:after="0" w:line="276" w:lineRule="auto"/>
      </w:pPr>
      <w:r>
        <w:t>Hvordan arbejdede einsatzgrupperne?</w:t>
      </w:r>
    </w:p>
    <w:p w:rsidR="00150FD2" w:rsidRDefault="00150FD2" w:rsidP="00150FD2">
      <w:pPr>
        <w:pStyle w:val="Listeafsnit"/>
        <w:numPr>
          <w:ilvl w:val="0"/>
          <w:numId w:val="24"/>
        </w:numPr>
        <w:spacing w:after="0" w:line="276" w:lineRule="auto"/>
      </w:pPr>
      <w:r>
        <w:t>Hvorfor besluttede Nazityskland at begynde at udrydde jøderne?</w:t>
      </w:r>
    </w:p>
    <w:p w:rsidR="00150FD2" w:rsidRDefault="00150FD2" w:rsidP="00150FD2">
      <w:pPr>
        <w:pStyle w:val="Listeafsnit"/>
        <w:numPr>
          <w:ilvl w:val="0"/>
          <w:numId w:val="24"/>
        </w:numPr>
        <w:spacing w:after="0" w:line="276" w:lineRule="auto"/>
      </w:pPr>
      <w:r>
        <w:t>Hvor mange jøder dræbte einsatzgrupperne?</w:t>
      </w:r>
    </w:p>
    <w:p w:rsidR="00702C8F" w:rsidRDefault="00702C8F" w:rsidP="00702C8F">
      <w:pPr>
        <w:pStyle w:val="Listeafsnit"/>
        <w:spacing w:after="0" w:line="276" w:lineRule="auto"/>
      </w:pPr>
    </w:p>
    <w:p w:rsidR="003F6EF9" w:rsidRDefault="003F6EF9" w:rsidP="000F6A48"/>
    <w:p w:rsidR="003F6EF9" w:rsidRDefault="003F6EF9" w:rsidP="003F6EF9">
      <w:pPr>
        <w:pStyle w:val="Overskrift2"/>
      </w:pPr>
      <w:r>
        <w:t xml:space="preserve">Sekvens 2 </w:t>
      </w:r>
      <w:r w:rsidR="004A084C">
        <w:t>–</w:t>
      </w:r>
      <w:r>
        <w:t xml:space="preserve"> </w:t>
      </w:r>
      <w:r w:rsidR="00702C8F">
        <w:t>Konktekstlæsning</w:t>
      </w:r>
    </w:p>
    <w:p w:rsidR="004A084C" w:rsidRDefault="004A084C" w:rsidP="004A084C"/>
    <w:p w:rsidR="001C1859" w:rsidRDefault="001C1859" w:rsidP="004A084C">
      <w:r>
        <w:t>Læs i grupper s. 42-51 i kompendiet. Skriv noter undervejs og beskriv begreberne:</w:t>
      </w:r>
    </w:p>
    <w:p w:rsidR="001C1859" w:rsidRDefault="001C1859" w:rsidP="001C1859">
      <w:pPr>
        <w:rPr>
          <w:i/>
        </w:rPr>
      </w:pPr>
      <w:r w:rsidRPr="00150FD2">
        <w:rPr>
          <w:i/>
        </w:rPr>
        <w:t>KZ-lejre, Udryddelseslejre, Selektion, Gaskamre, Sonderkommando, ’World of choiceless choices’</w:t>
      </w:r>
    </w:p>
    <w:p w:rsidR="001C1859" w:rsidRDefault="001C1859" w:rsidP="001C1859">
      <w:pPr>
        <w:rPr>
          <w:i/>
        </w:rPr>
      </w:pPr>
    </w:p>
    <w:p w:rsidR="001C1859" w:rsidRPr="001C1859" w:rsidRDefault="001C1859" w:rsidP="001C1859">
      <w:pPr>
        <w:rPr>
          <w:u w:val="single"/>
        </w:rPr>
      </w:pPr>
      <w:r>
        <w:t>Lav derefter en sammenhængende beskrivelse af det forløb en jøde typisk ville møde i en KZ- og udryddelseslejr som f.eks. Auschwitz. Anvend teksten samt nedenstående billeder. (I kan med fordel forstørre dem for jeres egen skyld)</w:t>
      </w:r>
    </w:p>
    <w:p w:rsidR="004A084C" w:rsidRDefault="004A084C" w:rsidP="004A084C"/>
    <w:p w:rsidR="001C1859" w:rsidRDefault="001C1859" w:rsidP="004A084C">
      <w:r w:rsidRPr="001C1859">
        <w:rPr>
          <w:noProof/>
          <w:lang w:eastAsia="da-DK"/>
        </w:rPr>
        <w:lastRenderedPageBreak/>
        <w:drawing>
          <wp:inline distT="0" distB="0" distL="0" distR="0">
            <wp:extent cx="2998458" cy="1689100"/>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37" cy="1706270"/>
                    </a:xfrm>
                    <a:prstGeom prst="rect">
                      <a:avLst/>
                    </a:prstGeom>
                    <a:noFill/>
                    <a:ln>
                      <a:noFill/>
                    </a:ln>
                  </pic:spPr>
                </pic:pic>
              </a:graphicData>
            </a:graphic>
          </wp:inline>
        </w:drawing>
      </w:r>
      <w:r w:rsidRPr="001C1859">
        <w:t xml:space="preserve"> </w:t>
      </w:r>
      <w:r w:rsidRPr="001C1859">
        <w:rPr>
          <w:noProof/>
          <w:lang w:eastAsia="da-DK"/>
        </w:rPr>
        <w:drawing>
          <wp:inline distT="0" distB="0" distL="0" distR="0">
            <wp:extent cx="3079750" cy="1941099"/>
            <wp:effectExtent l="0" t="0" r="6350"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5114" cy="1944480"/>
                    </a:xfrm>
                    <a:prstGeom prst="rect">
                      <a:avLst/>
                    </a:prstGeom>
                    <a:noFill/>
                    <a:ln>
                      <a:noFill/>
                    </a:ln>
                  </pic:spPr>
                </pic:pic>
              </a:graphicData>
            </a:graphic>
          </wp:inline>
        </w:drawing>
      </w:r>
      <w:r w:rsidRPr="001C1859">
        <w:t xml:space="preserve"> </w:t>
      </w:r>
      <w:r w:rsidRPr="001C1859">
        <w:rPr>
          <w:noProof/>
          <w:lang w:eastAsia="da-DK"/>
        </w:rPr>
        <w:drawing>
          <wp:inline distT="0" distB="0" distL="0" distR="0">
            <wp:extent cx="3009900" cy="2189310"/>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936" cy="2192973"/>
                    </a:xfrm>
                    <a:prstGeom prst="rect">
                      <a:avLst/>
                    </a:prstGeom>
                    <a:noFill/>
                    <a:ln>
                      <a:noFill/>
                    </a:ln>
                  </pic:spPr>
                </pic:pic>
              </a:graphicData>
            </a:graphic>
          </wp:inline>
        </w:drawing>
      </w:r>
      <w:r w:rsidRPr="001C1859">
        <w:rPr>
          <w:noProof/>
          <w:lang w:eastAsia="da-DK"/>
        </w:rPr>
        <w:drawing>
          <wp:inline distT="0" distB="0" distL="0" distR="0" wp14:anchorId="34A6C06E" wp14:editId="7C310C35">
            <wp:extent cx="3009900" cy="1733997"/>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091" cy="1744477"/>
                    </a:xfrm>
                    <a:prstGeom prst="rect">
                      <a:avLst/>
                    </a:prstGeom>
                    <a:noFill/>
                    <a:ln>
                      <a:noFill/>
                    </a:ln>
                  </pic:spPr>
                </pic:pic>
              </a:graphicData>
            </a:graphic>
          </wp:inline>
        </w:drawing>
      </w:r>
    </w:p>
    <w:p w:rsidR="001C1859" w:rsidRDefault="001C1859" w:rsidP="004A084C">
      <w:r>
        <w:t xml:space="preserve">  </w:t>
      </w:r>
      <w:r w:rsidRPr="001C1859">
        <w:rPr>
          <w:noProof/>
          <w:lang w:eastAsia="da-DK"/>
        </w:rPr>
        <w:drawing>
          <wp:inline distT="0" distB="0" distL="0" distR="0">
            <wp:extent cx="3007502" cy="2025650"/>
            <wp:effectExtent l="0" t="0" r="254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1077" cy="2028058"/>
                    </a:xfrm>
                    <a:prstGeom prst="rect">
                      <a:avLst/>
                    </a:prstGeom>
                    <a:noFill/>
                    <a:ln>
                      <a:noFill/>
                    </a:ln>
                  </pic:spPr>
                </pic:pic>
              </a:graphicData>
            </a:graphic>
          </wp:inline>
        </w:drawing>
      </w:r>
      <w:r>
        <w:t xml:space="preserve"> </w:t>
      </w:r>
      <w:r w:rsidRPr="001C1859">
        <w:rPr>
          <w:noProof/>
          <w:lang w:eastAsia="da-DK"/>
        </w:rPr>
        <w:drawing>
          <wp:inline distT="0" distB="0" distL="0" distR="0">
            <wp:extent cx="2952771" cy="19113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547" cy="1914442"/>
                    </a:xfrm>
                    <a:prstGeom prst="rect">
                      <a:avLst/>
                    </a:prstGeom>
                    <a:noFill/>
                    <a:ln>
                      <a:noFill/>
                    </a:ln>
                  </pic:spPr>
                </pic:pic>
              </a:graphicData>
            </a:graphic>
          </wp:inline>
        </w:drawing>
      </w:r>
    </w:p>
    <w:p w:rsidR="001C1859" w:rsidRDefault="001C1859" w:rsidP="004A084C"/>
    <w:p w:rsidR="001C1859" w:rsidRDefault="001C1859" w:rsidP="004A084C"/>
    <w:p w:rsidR="001C1859" w:rsidRDefault="001C1859" w:rsidP="00A2200E">
      <w:pPr>
        <w:pStyle w:val="Overskrift2"/>
        <w:rPr>
          <w:rFonts w:asciiTheme="minorHAnsi" w:eastAsiaTheme="minorHAnsi" w:hAnsiTheme="minorHAnsi" w:cstheme="minorBidi"/>
          <w:color w:val="auto"/>
          <w:sz w:val="22"/>
          <w:szCs w:val="22"/>
        </w:rPr>
      </w:pPr>
    </w:p>
    <w:p w:rsidR="001C1859" w:rsidRDefault="001C1859" w:rsidP="00A2200E">
      <w:pPr>
        <w:pStyle w:val="Overskrift2"/>
        <w:rPr>
          <w:rFonts w:asciiTheme="minorHAnsi" w:eastAsiaTheme="minorHAnsi" w:hAnsiTheme="minorHAnsi" w:cstheme="minorBidi"/>
          <w:color w:val="auto"/>
          <w:sz w:val="22"/>
          <w:szCs w:val="22"/>
        </w:rPr>
      </w:pPr>
    </w:p>
    <w:p w:rsidR="00186ADC" w:rsidRPr="001C1859" w:rsidRDefault="00702C8F" w:rsidP="00A2200E">
      <w:pPr>
        <w:pStyle w:val="Overskrift2"/>
      </w:pPr>
      <w:r w:rsidRPr="001C1859">
        <w:t>Sekvens 3</w:t>
      </w:r>
      <w:r w:rsidR="001C1859" w:rsidRPr="001C1859">
        <w:t xml:space="preserve"> </w:t>
      </w:r>
      <w:r w:rsidR="001C1859">
        <w:t>–</w:t>
      </w:r>
      <w:r w:rsidR="001C1859" w:rsidRPr="001C1859">
        <w:t xml:space="preserve"> </w:t>
      </w:r>
      <w:r w:rsidR="001C1859">
        <w:t>De allieredes ansvar</w:t>
      </w:r>
    </w:p>
    <w:p w:rsidR="001C1859" w:rsidRPr="00CD2F8B" w:rsidRDefault="006A051F" w:rsidP="001C1859">
      <w:pPr>
        <w:pStyle w:val="Overskrift2"/>
        <w:rPr>
          <w:rFonts w:eastAsia="Calibri"/>
          <w:b/>
          <w:bCs/>
          <w:sz w:val="30"/>
          <w:szCs w:val="30"/>
        </w:rPr>
      </w:pPr>
      <w:r>
        <w:br/>
      </w:r>
      <w:r w:rsidR="001C1859">
        <w:rPr>
          <w:rFonts w:eastAsia="Calibri"/>
          <w:b/>
          <w:bCs/>
          <w:color w:val="FF0000"/>
          <w:sz w:val="30"/>
          <w:szCs w:val="30"/>
        </w:rPr>
        <w:t>Opgave</w:t>
      </w:r>
      <w:r w:rsidR="001C1859" w:rsidRPr="00CD2F8B">
        <w:rPr>
          <w:rFonts w:eastAsia="Calibri"/>
          <w:b/>
          <w:bCs/>
          <w:color w:val="FF0000"/>
          <w:sz w:val="30"/>
          <w:szCs w:val="30"/>
        </w:rPr>
        <w:t xml:space="preserve"> </w:t>
      </w:r>
      <w:r w:rsidR="001C1859" w:rsidRPr="00CD2F8B">
        <w:rPr>
          <w:rFonts w:eastAsia="Calibri"/>
          <w:b/>
          <w:bCs/>
          <w:sz w:val="30"/>
          <w:szCs w:val="30"/>
        </w:rPr>
        <w:t>Hvorfor bombede de allierede ikke togsporene til Auschwitz?</w:t>
      </w:r>
    </w:p>
    <w:p w:rsidR="001C1859" w:rsidRDefault="001C1859" w:rsidP="001C1859">
      <w:pPr>
        <w:rPr>
          <w:rFonts w:ascii="Calibri" w:eastAsia="Calibri" w:hAnsi="Calibri" w:cs="Calibri"/>
          <w:sz w:val="24"/>
          <w:szCs w:val="24"/>
        </w:rPr>
      </w:pPr>
      <w:r>
        <w:rPr>
          <w:rFonts w:ascii="Calibri" w:eastAsia="Calibri" w:hAnsi="Calibri" w:cs="Calibri"/>
          <w:sz w:val="24"/>
          <w:szCs w:val="24"/>
        </w:rPr>
        <w:br/>
        <w:t>I denne opgave skal du forholde dig til omverdenens kendskab til og reaktioner på masse</w:t>
      </w:r>
      <w:r>
        <w:rPr>
          <w:rFonts w:ascii="Calibri" w:eastAsia="Calibri" w:hAnsi="Calibri" w:cs="Calibri"/>
          <w:sz w:val="24"/>
          <w:szCs w:val="24"/>
        </w:rPr>
        <w:softHyphen/>
        <w:t xml:space="preserve">drabene i nazisternes lejre. </w:t>
      </w:r>
    </w:p>
    <w:p w:rsidR="001C1859" w:rsidRPr="000E6FC8" w:rsidRDefault="001C1859" w:rsidP="001C1859">
      <w:pPr>
        <w:spacing w:after="0"/>
        <w:rPr>
          <w:rFonts w:ascii="Calibri" w:eastAsia="Calibri" w:hAnsi="Calibri" w:cs="Calibri"/>
          <w:b/>
          <w:bCs/>
          <w:sz w:val="24"/>
          <w:szCs w:val="24"/>
        </w:rPr>
      </w:pPr>
      <w:r w:rsidRPr="000E6FC8">
        <w:rPr>
          <w:rFonts w:ascii="Calibri" w:eastAsia="Calibri" w:hAnsi="Calibri" w:cs="Calibri"/>
          <w:b/>
          <w:bCs/>
          <w:sz w:val="24"/>
          <w:szCs w:val="24"/>
        </w:rPr>
        <w:t>Baggrund</w:t>
      </w:r>
    </w:p>
    <w:p w:rsidR="001C1859" w:rsidRDefault="001C1859" w:rsidP="001C1859">
      <w:pPr>
        <w:rPr>
          <w:rFonts w:ascii="Calibri" w:eastAsia="Calibri" w:hAnsi="Calibri" w:cs="Calibri"/>
          <w:sz w:val="24"/>
          <w:szCs w:val="24"/>
        </w:rPr>
      </w:pPr>
      <w:r>
        <w:rPr>
          <w:rFonts w:ascii="Calibri" w:eastAsia="Calibri" w:hAnsi="Calibri" w:cs="Calibri"/>
          <w:sz w:val="24"/>
          <w:szCs w:val="24"/>
        </w:rPr>
        <w:t>Allerede fra 1942 havde de allierede ledere kendskab til nazisternes forsøg på at udrydde jøderne. I november 1942 skrev den amerikanske avis The New York Times om “nedslagt</w:t>
      </w:r>
      <w:r>
        <w:rPr>
          <w:rFonts w:ascii="Calibri" w:eastAsia="Calibri" w:hAnsi="Calibri" w:cs="Calibri"/>
          <w:sz w:val="24"/>
          <w:szCs w:val="24"/>
        </w:rPr>
        <w:softHyphen/>
        <w:t>ningen af jøder inklusiv togfulde af voksne og børn, der bliver ført til store krematorier i Oświęcim [polsk for Auschwitz], nær Krakow”. Rygterne om udryddelserne blev samme år bekræftet af den polske modstandsmand Jan Karski, der havde været smuglet ind og ud af både ghettoer og lejre. Karski videregav mikrofilm og oplysninger til de allierede og appel</w:t>
      </w:r>
      <w:r>
        <w:rPr>
          <w:rFonts w:ascii="Calibri" w:eastAsia="Calibri" w:hAnsi="Calibri" w:cs="Calibri"/>
          <w:sz w:val="24"/>
          <w:szCs w:val="24"/>
        </w:rPr>
        <w:softHyphen/>
        <w:t>lerede om hjælp til jøderne. I 1944 fik de allierede yderligere vished, da to tjekkoslo</w:t>
      </w:r>
      <w:r>
        <w:rPr>
          <w:rFonts w:ascii="Calibri" w:eastAsia="Calibri" w:hAnsi="Calibri" w:cs="Calibri"/>
          <w:sz w:val="24"/>
          <w:szCs w:val="24"/>
        </w:rPr>
        <w:softHyphen/>
        <w:t xml:space="preserve">vakiske fanger, Rudolf Vrba og Alfréd Wetzler, flygtede fra Auschwitz og i detaljer rapporterede om gaskamre og krematorier. Det var også i 1944, at piloter i den britiske Royal Air Force tog luftfotos af Auschwitz, som viste barakker samt røg fra krematorier og ligbål. </w:t>
      </w:r>
    </w:p>
    <w:p w:rsidR="001C1859" w:rsidRDefault="001C1859" w:rsidP="001C1859">
      <w:pPr>
        <w:rPr>
          <w:rFonts w:ascii="Calibri" w:eastAsia="Calibri" w:hAnsi="Calibri" w:cs="Calibri"/>
          <w:sz w:val="24"/>
          <w:szCs w:val="24"/>
          <w:highlight w:val="white"/>
        </w:rPr>
      </w:pPr>
      <w:r>
        <w:rPr>
          <w:rFonts w:ascii="Calibri" w:eastAsia="Calibri" w:hAnsi="Calibri" w:cs="Calibri"/>
          <w:sz w:val="24"/>
          <w:szCs w:val="24"/>
        </w:rPr>
        <w:t xml:space="preserve">Jødiske ledere og organisationer verden over appellerede til de allierede om at gribe ind og standse massemordet. Det blev blandt andet foreslået at bombe jernbanelinjerne, der førte ind i Auschwitz. Formålet skulle være at sænke tempoet for drabene i lejren, fordi det ville forhindre ankomsten af tog med fanger. Forslaget blev afvist. De allierede ledere ville ikke afse militære ressourcer til ikke-militære formål. Argumentet var, at luftangreb krævede ressourcer, kunne koste soldater livet og måske ende med at dræbe fanger i lejren. Ifølge de allierede ledere skulle kræfterne bruges på </w:t>
      </w:r>
      <w:r>
        <w:rPr>
          <w:rFonts w:ascii="Calibri" w:eastAsia="Calibri" w:hAnsi="Calibri" w:cs="Calibri"/>
          <w:sz w:val="24"/>
          <w:szCs w:val="24"/>
          <w:highlight w:val="white"/>
        </w:rPr>
        <w:t xml:space="preserve">at vinde krigen. </w:t>
      </w:r>
      <w:r>
        <w:rPr>
          <w:rFonts w:ascii="Calibri" w:eastAsia="Calibri" w:hAnsi="Calibri" w:cs="Calibri"/>
          <w:sz w:val="24"/>
          <w:szCs w:val="24"/>
        </w:rPr>
        <w:t xml:space="preserve">Det var sejren over </w:t>
      </w:r>
      <w:r>
        <w:rPr>
          <w:rFonts w:ascii="Calibri" w:eastAsia="Calibri" w:hAnsi="Calibri" w:cs="Calibri"/>
          <w:sz w:val="24"/>
          <w:szCs w:val="24"/>
          <w:highlight w:val="white"/>
        </w:rPr>
        <w:t xml:space="preserve">Nazityskland, der skulle sætte en stopper for massemordet. </w:t>
      </w:r>
    </w:p>
    <w:p w:rsidR="001C1859" w:rsidRDefault="001C1859" w:rsidP="001C1859">
      <w:pPr>
        <w:spacing w:before="240"/>
        <w:rPr>
          <w:rFonts w:ascii="Calibri" w:eastAsia="Calibri" w:hAnsi="Calibri" w:cs="Calibri"/>
          <w:b/>
          <w:sz w:val="24"/>
          <w:szCs w:val="24"/>
        </w:rPr>
      </w:pPr>
      <w:r>
        <w:rPr>
          <w:rFonts w:ascii="Calibri" w:eastAsia="Calibri" w:hAnsi="Calibri" w:cs="Calibri"/>
          <w:b/>
          <w:sz w:val="24"/>
          <w:szCs w:val="24"/>
        </w:rPr>
        <w:t>Opgave</w:t>
      </w:r>
    </w:p>
    <w:p w:rsidR="001C1859" w:rsidRDefault="001C1859" w:rsidP="001C1859">
      <w:pPr>
        <w:numPr>
          <w:ilvl w:val="0"/>
          <w:numId w:val="26"/>
        </w:numPr>
        <w:spacing w:before="100" w:after="200" w:line="276" w:lineRule="auto"/>
        <w:rPr>
          <w:rFonts w:ascii="Calibri" w:eastAsia="Calibri" w:hAnsi="Calibri" w:cs="Calibri"/>
          <w:sz w:val="24"/>
          <w:szCs w:val="24"/>
        </w:rPr>
      </w:pPr>
      <w:r>
        <w:rPr>
          <w:rFonts w:ascii="Calibri" w:eastAsia="Calibri" w:hAnsi="Calibri" w:cs="Calibri"/>
          <w:sz w:val="24"/>
          <w:szCs w:val="24"/>
        </w:rPr>
        <w:t xml:space="preserve">Redegør for det kendskab, de allierede i 1944 havde til udryddelseslejrene. </w:t>
      </w:r>
    </w:p>
    <w:p w:rsidR="001C1859" w:rsidRDefault="001C1859" w:rsidP="001C1859">
      <w:pPr>
        <w:numPr>
          <w:ilvl w:val="0"/>
          <w:numId w:val="26"/>
        </w:numPr>
        <w:spacing w:before="100" w:after="200" w:line="276" w:lineRule="auto"/>
        <w:rPr>
          <w:rFonts w:ascii="Calibri" w:eastAsia="Calibri" w:hAnsi="Calibri" w:cs="Calibri"/>
          <w:sz w:val="24"/>
          <w:szCs w:val="24"/>
        </w:rPr>
      </w:pPr>
      <w:r>
        <w:rPr>
          <w:rFonts w:ascii="Calibri" w:eastAsia="Calibri" w:hAnsi="Calibri" w:cs="Calibri"/>
          <w:sz w:val="24"/>
          <w:szCs w:val="24"/>
        </w:rPr>
        <w:t xml:space="preserve">Vurdér beslutningen om ikke at bombe togsporene til Auschwitz. Hvad var argumenterne imod operationen? Hvad kunne have talt for? </w:t>
      </w:r>
    </w:p>
    <w:p w:rsidR="001C1859" w:rsidRDefault="001C1859" w:rsidP="001C1859">
      <w:pPr>
        <w:numPr>
          <w:ilvl w:val="0"/>
          <w:numId w:val="26"/>
        </w:numPr>
        <w:spacing w:before="100" w:after="200"/>
        <w:rPr>
          <w:rFonts w:ascii="Calibri" w:eastAsia="Calibri" w:hAnsi="Calibri" w:cs="Calibri"/>
          <w:sz w:val="24"/>
          <w:szCs w:val="24"/>
          <w:highlight w:val="white"/>
        </w:rPr>
      </w:pPr>
      <w:r>
        <w:rPr>
          <w:rFonts w:ascii="Calibri" w:eastAsia="Calibri" w:hAnsi="Calibri" w:cs="Calibri"/>
          <w:sz w:val="24"/>
          <w:szCs w:val="24"/>
          <w:highlight w:val="white"/>
        </w:rPr>
        <w:t>Se boksen om folkedrabets aktører (nedenfor) og diskutér, hvor de allierede passer ind.</w:t>
      </w:r>
    </w:p>
    <w:p w:rsidR="001C1859" w:rsidRDefault="001C1859" w:rsidP="001C1859">
      <w:pPr>
        <w:numPr>
          <w:ilvl w:val="0"/>
          <w:numId w:val="26"/>
        </w:numPr>
        <w:spacing w:before="100" w:after="200" w:line="276" w:lineRule="auto"/>
        <w:rPr>
          <w:rFonts w:ascii="Calibri" w:eastAsia="Calibri" w:hAnsi="Calibri" w:cs="Calibri"/>
          <w:sz w:val="24"/>
          <w:szCs w:val="24"/>
        </w:rPr>
      </w:pPr>
      <w:r>
        <w:rPr>
          <w:rFonts w:ascii="Calibri" w:eastAsia="Calibri" w:hAnsi="Calibri" w:cs="Calibri"/>
          <w:sz w:val="24"/>
          <w:szCs w:val="24"/>
        </w:rPr>
        <w:t>Vurdér, hvad omverdenen kan og bør gøre, når der bliver begået folkedrab. Hvem har ansvaret for at redde ofrene? Inddrag Folkedrabskonventionen (se nedenfor)</w:t>
      </w:r>
    </w:p>
    <w:p w:rsidR="001C1859" w:rsidRDefault="001C1859" w:rsidP="001C1859"/>
    <w:p w:rsidR="001C1859" w:rsidRDefault="001C1859" w:rsidP="001C1859"/>
    <w:p w:rsidR="001C1859" w:rsidRDefault="001C1859" w:rsidP="001C1859">
      <w:pPr>
        <w:pStyle w:val="Overskrift3"/>
        <w:shd w:val="clear" w:color="auto" w:fill="F8F8F8"/>
        <w:spacing w:before="0" w:line="541" w:lineRule="atLeast"/>
        <w:rPr>
          <w:rFonts w:eastAsia="Times New Roman"/>
          <w:color w:val="333333"/>
          <w:sz w:val="33"/>
          <w:szCs w:val="33"/>
        </w:rPr>
      </w:pPr>
      <w:r>
        <w:rPr>
          <w:color w:val="333333"/>
          <w:sz w:val="33"/>
          <w:szCs w:val="33"/>
        </w:rPr>
        <w:lastRenderedPageBreak/>
        <w:t>Folkedrabets aktører</w:t>
      </w:r>
    </w:p>
    <w:p w:rsidR="001C1859" w:rsidRDefault="001C1859" w:rsidP="001C1859">
      <w:pPr>
        <w:pStyle w:val="NormalWeb"/>
        <w:shd w:val="clear" w:color="auto" w:fill="F8F8F8"/>
        <w:rPr>
          <w:rFonts w:ascii="Arial" w:hAnsi="Arial" w:cs="Arial"/>
          <w:color w:val="333333"/>
          <w:sz w:val="26"/>
          <w:szCs w:val="26"/>
        </w:rPr>
      </w:pPr>
      <w:r>
        <w:rPr>
          <w:rFonts w:ascii="Arial" w:hAnsi="Arial" w:cs="Arial"/>
          <w:color w:val="333333"/>
          <w:sz w:val="26"/>
          <w:szCs w:val="26"/>
        </w:rPr>
        <w:t>Aktører i folkedrab kan inddeles i fire kategorier. Ofrene er dem, der forfølges og forsøges udryddet. Gerningsmændene forfølger og slår ihjel. Den store gruppe i samfundet, som nok har kendskab til udryddelserne, men som forholder sig passivt, kaldes tilskuerne. Sidst er der hjælperne, som forsøger at komme ofrene til undsætning.</w:t>
      </w:r>
    </w:p>
    <w:p w:rsidR="001C1859" w:rsidRDefault="001C1859" w:rsidP="001C1859">
      <w:pPr>
        <w:pStyle w:val="NormalWeb"/>
        <w:shd w:val="clear" w:color="auto" w:fill="F8F8F8"/>
        <w:rPr>
          <w:rFonts w:ascii="Arial" w:hAnsi="Arial" w:cs="Arial"/>
          <w:color w:val="333333"/>
          <w:sz w:val="26"/>
          <w:szCs w:val="26"/>
        </w:rPr>
      </w:pPr>
      <w:r>
        <w:rPr>
          <w:rFonts w:ascii="Arial" w:hAnsi="Arial" w:cs="Arial"/>
          <w:color w:val="333333"/>
          <w:sz w:val="26"/>
          <w:szCs w:val="26"/>
        </w:rPr>
        <w:t>Historien viser, at aktørkategorierne ikke er fastlåste, og at mange mennesker skifter roller undervejs i et folkedrab. For eksempel er der blandt tilskuerne altid nogle, der påtager sig hjælperrollen, hvis de får mulighed for det. Flertallet vender bagefter tilbage til rollen som tilskuer, og nogle af dem ender selv som ofre.</w:t>
      </w:r>
    </w:p>
    <w:p w:rsidR="001C1859" w:rsidRDefault="001C1859" w:rsidP="001C1859">
      <w:pPr>
        <w:pStyle w:val="NormalWeb"/>
        <w:shd w:val="clear" w:color="auto" w:fill="F8F8F8"/>
        <w:spacing w:before="0" w:beforeAutospacing="0" w:after="0" w:afterAutospacing="0"/>
        <w:rPr>
          <w:rFonts w:ascii="Arial" w:hAnsi="Arial" w:cs="Arial"/>
          <w:color w:val="333333"/>
          <w:sz w:val="26"/>
          <w:szCs w:val="26"/>
        </w:rPr>
      </w:pPr>
      <w:r>
        <w:rPr>
          <w:rFonts w:ascii="Arial" w:hAnsi="Arial" w:cs="Arial"/>
          <w:color w:val="333333"/>
          <w:sz w:val="26"/>
          <w:szCs w:val="26"/>
        </w:rPr>
        <w:t>Der er også eksempler på gerningsmænd, der i bestemte situationer bliver hjælpere. Det sker også, at ofrene ender i situationer, hvor deres egen overlevelse betyder lidelse eller død for andre.</w:t>
      </w:r>
    </w:p>
    <w:p w:rsidR="001C1859" w:rsidRDefault="001C1859" w:rsidP="001C1859"/>
    <w:p w:rsidR="001C1859" w:rsidRDefault="001C1859" w:rsidP="001C1859">
      <w:pPr>
        <w:pStyle w:val="Overskrift2"/>
        <w:shd w:val="clear" w:color="auto" w:fill="FFFFFF"/>
        <w:spacing w:before="0" w:line="583" w:lineRule="atLeast"/>
        <w:rPr>
          <w:rFonts w:eastAsia="Times New Roman"/>
          <w:color w:val="333333"/>
        </w:rPr>
      </w:pPr>
      <w:r>
        <w:rPr>
          <w:color w:val="333333"/>
        </w:rPr>
        <w:t>FN’s Folkedrabskonvention</w:t>
      </w:r>
    </w:p>
    <w:p w:rsidR="001C1859" w:rsidRDefault="001C1859" w:rsidP="001C1859">
      <w:pPr>
        <w:pStyle w:val="NormalWeb"/>
        <w:shd w:val="clear" w:color="auto" w:fill="FFFFFF"/>
        <w:rPr>
          <w:rFonts w:ascii="Arial" w:hAnsi="Arial" w:cs="Arial"/>
          <w:color w:val="333333"/>
          <w:sz w:val="26"/>
          <w:szCs w:val="26"/>
        </w:rPr>
      </w:pPr>
      <w:r>
        <w:rPr>
          <w:rFonts w:ascii="Arial" w:hAnsi="Arial" w:cs="Arial"/>
          <w:color w:val="333333"/>
          <w:sz w:val="26"/>
          <w:szCs w:val="26"/>
        </w:rPr>
        <w:t>Den gældende politiske juridiske definition på folkedrab fremgår af FN’s Konvention om forebyggelse af og straf for folkedrab fra 1948, også kaldet Folkedrabskonvention. Den har 152 lande verden over tilsluttet sig, og her defineres folkedrab som en international forbrydelse og en del af folkeretten, som er de love, der regulerer forholdet mellem stater. Af konventionen fremgår det, at folkedrab er et bevidst forsøg på helt eller delvist at udrydde en national, etnisk, racemæssig eller religiøs gruppe. Artikel 1 fastslår, at folkedrab er en forbrydelse, uanset om den begås i freds- eller krigstid. Dernæst defineres folkedrab som enhver af nedenstående handlinger, hvis de begås med hensigt om helt eller delvist at ødelægge en gruppe:</w:t>
      </w:r>
    </w:p>
    <w:p w:rsidR="001C1859" w:rsidRDefault="001C1859" w:rsidP="001C1859">
      <w:pPr>
        <w:numPr>
          <w:ilvl w:val="0"/>
          <w:numId w:val="27"/>
        </w:numPr>
        <w:shd w:val="clear" w:color="auto" w:fill="FFFFFF"/>
        <w:spacing w:before="100" w:beforeAutospacing="1" w:after="100" w:afterAutospacing="1" w:line="240" w:lineRule="auto"/>
        <w:rPr>
          <w:rFonts w:ascii="Arial" w:hAnsi="Arial" w:cs="Arial"/>
          <w:color w:val="333333"/>
          <w:sz w:val="26"/>
          <w:szCs w:val="26"/>
        </w:rPr>
      </w:pPr>
      <w:r>
        <w:rPr>
          <w:rFonts w:ascii="Arial" w:hAnsi="Arial" w:cs="Arial"/>
          <w:color w:val="333333"/>
          <w:sz w:val="26"/>
          <w:szCs w:val="26"/>
        </w:rPr>
        <w:t>at dræbe medlemmer af gruppen</w:t>
      </w:r>
    </w:p>
    <w:p w:rsidR="001C1859" w:rsidRDefault="001C1859" w:rsidP="001C1859">
      <w:pPr>
        <w:numPr>
          <w:ilvl w:val="0"/>
          <w:numId w:val="27"/>
        </w:numPr>
        <w:shd w:val="clear" w:color="auto" w:fill="FFFFFF"/>
        <w:spacing w:before="100" w:beforeAutospacing="1" w:after="100" w:afterAutospacing="1" w:line="240" w:lineRule="auto"/>
        <w:rPr>
          <w:rFonts w:ascii="Arial" w:hAnsi="Arial" w:cs="Arial"/>
          <w:color w:val="333333"/>
          <w:sz w:val="26"/>
          <w:szCs w:val="26"/>
        </w:rPr>
      </w:pPr>
      <w:r>
        <w:rPr>
          <w:rFonts w:ascii="Arial" w:hAnsi="Arial" w:cs="Arial"/>
          <w:color w:val="333333"/>
          <w:sz w:val="26"/>
          <w:szCs w:val="26"/>
        </w:rPr>
        <w:t>at tilføje medlemmer af gruppen betydelig legemlig eller åndelig skade</w:t>
      </w:r>
    </w:p>
    <w:p w:rsidR="001C1859" w:rsidRDefault="001C1859" w:rsidP="001C1859">
      <w:pPr>
        <w:numPr>
          <w:ilvl w:val="0"/>
          <w:numId w:val="27"/>
        </w:numPr>
        <w:shd w:val="clear" w:color="auto" w:fill="FFFFFF"/>
        <w:spacing w:before="100" w:beforeAutospacing="1" w:after="100" w:afterAutospacing="1" w:line="240" w:lineRule="auto"/>
        <w:rPr>
          <w:rFonts w:ascii="Arial" w:hAnsi="Arial" w:cs="Arial"/>
          <w:color w:val="333333"/>
          <w:sz w:val="26"/>
          <w:szCs w:val="26"/>
        </w:rPr>
      </w:pPr>
      <w:r>
        <w:rPr>
          <w:rFonts w:ascii="Arial" w:hAnsi="Arial" w:cs="Arial"/>
          <w:color w:val="333333"/>
          <w:sz w:val="26"/>
          <w:szCs w:val="26"/>
        </w:rPr>
        <w:t>med forsæt (dvs. med vilje) at påføre gruppen levevilkår, beregnede på at bevirke gruppens fuldstændige eller delvise fysiske ødelæggelse</w:t>
      </w:r>
    </w:p>
    <w:p w:rsidR="001C1859" w:rsidRDefault="001C1859" w:rsidP="001C1859">
      <w:pPr>
        <w:numPr>
          <w:ilvl w:val="0"/>
          <w:numId w:val="27"/>
        </w:numPr>
        <w:shd w:val="clear" w:color="auto" w:fill="FFFFFF"/>
        <w:spacing w:before="100" w:beforeAutospacing="1" w:after="100" w:afterAutospacing="1" w:line="240" w:lineRule="auto"/>
        <w:rPr>
          <w:rFonts w:ascii="Arial" w:hAnsi="Arial" w:cs="Arial"/>
          <w:color w:val="333333"/>
          <w:sz w:val="26"/>
          <w:szCs w:val="26"/>
        </w:rPr>
      </w:pPr>
      <w:r>
        <w:rPr>
          <w:rFonts w:ascii="Arial" w:hAnsi="Arial" w:cs="Arial"/>
          <w:color w:val="333333"/>
          <w:sz w:val="26"/>
          <w:szCs w:val="26"/>
        </w:rPr>
        <w:t>at gennemføre forholdsregler, der tilsigter at hindre fødsler inden for gruppen</w:t>
      </w:r>
    </w:p>
    <w:p w:rsidR="001C1859" w:rsidRDefault="001C1859" w:rsidP="001C1859">
      <w:pPr>
        <w:numPr>
          <w:ilvl w:val="0"/>
          <w:numId w:val="27"/>
        </w:numPr>
        <w:shd w:val="clear" w:color="auto" w:fill="FFFFFF"/>
        <w:spacing w:after="0" w:line="240" w:lineRule="auto"/>
        <w:rPr>
          <w:rFonts w:ascii="Arial" w:hAnsi="Arial" w:cs="Arial"/>
          <w:color w:val="333333"/>
          <w:sz w:val="26"/>
          <w:szCs w:val="26"/>
        </w:rPr>
      </w:pPr>
      <w:r>
        <w:rPr>
          <w:rFonts w:ascii="Arial" w:hAnsi="Arial" w:cs="Arial"/>
          <w:color w:val="333333"/>
          <w:sz w:val="26"/>
          <w:szCs w:val="26"/>
        </w:rPr>
        <w:t>med magt at overføre én gruppes børn til en anden gruppe.</w:t>
      </w:r>
    </w:p>
    <w:p w:rsidR="001C1859" w:rsidRDefault="001C1859" w:rsidP="001C1859">
      <w:pPr>
        <w:pStyle w:val="NormalWeb"/>
        <w:shd w:val="clear" w:color="auto" w:fill="FFFFFF"/>
        <w:rPr>
          <w:rFonts w:ascii="Arial" w:hAnsi="Arial" w:cs="Arial"/>
          <w:color w:val="333333"/>
          <w:sz w:val="26"/>
          <w:szCs w:val="26"/>
        </w:rPr>
      </w:pPr>
      <w:r>
        <w:rPr>
          <w:rFonts w:ascii="Arial" w:hAnsi="Arial" w:cs="Arial"/>
          <w:color w:val="333333"/>
          <w:sz w:val="26"/>
          <w:szCs w:val="26"/>
        </w:rPr>
        <w:t>Når det internationale samfund skal vurdere, om et folkedrab har fundet sted, eller om en situation er ved at udvikle sig til folkedrab, er det FN’s folkedrabskonvention, der gælder. Men FN er ikke ophavsmand til begrebet. Det blev introduceret allerede under anden verdenskrig af den polsk-jødiske advokat Raphael Lemkin.</w:t>
      </w:r>
    </w:p>
    <w:p w:rsidR="004A7C1A" w:rsidRPr="001C1859" w:rsidRDefault="004A7C1A" w:rsidP="001C1859"/>
    <w:p w:rsidR="004A7C1A" w:rsidRPr="00702C8F" w:rsidRDefault="004A7C1A" w:rsidP="00702C8F"/>
    <w:sectPr w:rsidR="004A7C1A" w:rsidRPr="00702C8F">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654" w:rsidRDefault="006D1654" w:rsidP="00A2200E">
      <w:pPr>
        <w:spacing w:after="0" w:line="240" w:lineRule="auto"/>
      </w:pPr>
      <w:r>
        <w:separator/>
      </w:r>
    </w:p>
  </w:endnote>
  <w:endnote w:type="continuationSeparator" w:id="0">
    <w:p w:rsidR="006D1654" w:rsidRDefault="006D1654" w:rsidP="00A22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396360"/>
      <w:docPartObj>
        <w:docPartGallery w:val="Page Numbers (Bottom of Page)"/>
        <w:docPartUnique/>
      </w:docPartObj>
    </w:sdtPr>
    <w:sdtEndPr/>
    <w:sdtContent>
      <w:p w:rsidR="00A2200E" w:rsidRDefault="00A2200E">
        <w:pPr>
          <w:pStyle w:val="Sidefod"/>
          <w:jc w:val="right"/>
        </w:pPr>
        <w:r>
          <w:fldChar w:fldCharType="begin"/>
        </w:r>
        <w:r>
          <w:instrText>PAGE   \* MERGEFORMAT</w:instrText>
        </w:r>
        <w:r>
          <w:fldChar w:fldCharType="separate"/>
        </w:r>
        <w:r w:rsidR="001C1859">
          <w:rPr>
            <w:noProof/>
          </w:rPr>
          <w:t>1</w:t>
        </w:r>
        <w:r>
          <w:fldChar w:fldCharType="end"/>
        </w:r>
      </w:p>
    </w:sdtContent>
  </w:sdt>
  <w:p w:rsidR="00A2200E" w:rsidRDefault="00A2200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654" w:rsidRDefault="006D1654" w:rsidP="00A2200E">
      <w:pPr>
        <w:spacing w:after="0" w:line="240" w:lineRule="auto"/>
      </w:pPr>
      <w:r>
        <w:separator/>
      </w:r>
    </w:p>
  </w:footnote>
  <w:footnote w:type="continuationSeparator" w:id="0">
    <w:p w:rsidR="006D1654" w:rsidRDefault="006D1654" w:rsidP="00A220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C20A2"/>
    <w:multiLevelType w:val="multilevel"/>
    <w:tmpl w:val="1A8CB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442C61"/>
    <w:multiLevelType w:val="multilevel"/>
    <w:tmpl w:val="A1C24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B6D2CE7"/>
    <w:multiLevelType w:val="hybridMultilevel"/>
    <w:tmpl w:val="5C8A7A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C5905D2"/>
    <w:multiLevelType w:val="multilevel"/>
    <w:tmpl w:val="16A40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8F58D2"/>
    <w:multiLevelType w:val="multilevel"/>
    <w:tmpl w:val="71960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C02458"/>
    <w:multiLevelType w:val="hybridMultilevel"/>
    <w:tmpl w:val="3BA20D60"/>
    <w:lvl w:ilvl="0" w:tplc="2D1A9D8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561176E"/>
    <w:multiLevelType w:val="hybridMultilevel"/>
    <w:tmpl w:val="3AF89CDE"/>
    <w:lvl w:ilvl="0" w:tplc="2C3C6E1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69E1D22"/>
    <w:multiLevelType w:val="hybridMultilevel"/>
    <w:tmpl w:val="CB88E0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7434B90"/>
    <w:multiLevelType w:val="hybridMultilevel"/>
    <w:tmpl w:val="D40A0CC4"/>
    <w:lvl w:ilvl="0" w:tplc="05E0D28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92A3469"/>
    <w:multiLevelType w:val="multilevel"/>
    <w:tmpl w:val="CE2E7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C62ABF"/>
    <w:multiLevelType w:val="multilevel"/>
    <w:tmpl w:val="60EEF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74F53B8"/>
    <w:multiLevelType w:val="multilevel"/>
    <w:tmpl w:val="233AA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9AA33E4"/>
    <w:multiLevelType w:val="hybridMultilevel"/>
    <w:tmpl w:val="080282EC"/>
    <w:lvl w:ilvl="0" w:tplc="AB6CFD3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A7B0D5E"/>
    <w:multiLevelType w:val="multilevel"/>
    <w:tmpl w:val="22569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276913"/>
    <w:multiLevelType w:val="multilevel"/>
    <w:tmpl w:val="A1C24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0E77AB9"/>
    <w:multiLevelType w:val="hybridMultilevel"/>
    <w:tmpl w:val="8F44B1AE"/>
    <w:lvl w:ilvl="0" w:tplc="AB6CFD3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B3376FB"/>
    <w:multiLevelType w:val="multilevel"/>
    <w:tmpl w:val="7DB2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DB2D08"/>
    <w:multiLevelType w:val="hybridMultilevel"/>
    <w:tmpl w:val="7F5EA7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A4F2C77"/>
    <w:multiLevelType w:val="multilevel"/>
    <w:tmpl w:val="1CC03C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D20D8"/>
    <w:multiLevelType w:val="hybridMultilevel"/>
    <w:tmpl w:val="D8FE0A14"/>
    <w:lvl w:ilvl="0" w:tplc="0368EA0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FCA611D"/>
    <w:multiLevelType w:val="hybridMultilevel"/>
    <w:tmpl w:val="AD5E5D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0E43423"/>
    <w:multiLevelType w:val="hybridMultilevel"/>
    <w:tmpl w:val="AD5E5D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65567FA"/>
    <w:multiLevelType w:val="multilevel"/>
    <w:tmpl w:val="5C802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A196660"/>
    <w:multiLevelType w:val="hybridMultilevel"/>
    <w:tmpl w:val="90C4194A"/>
    <w:lvl w:ilvl="0" w:tplc="AB6CFD3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AE45E08"/>
    <w:multiLevelType w:val="multilevel"/>
    <w:tmpl w:val="60EEF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CF93495"/>
    <w:multiLevelType w:val="multilevel"/>
    <w:tmpl w:val="DD7C8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DB01E89"/>
    <w:multiLevelType w:val="hybridMultilevel"/>
    <w:tmpl w:val="2A882078"/>
    <w:lvl w:ilvl="0" w:tplc="AB6CFD3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9"/>
  </w:num>
  <w:num w:numId="5">
    <w:abstractNumId w:val="19"/>
  </w:num>
  <w:num w:numId="6">
    <w:abstractNumId w:val="24"/>
  </w:num>
  <w:num w:numId="7">
    <w:abstractNumId w:val="17"/>
  </w:num>
  <w:num w:numId="8">
    <w:abstractNumId w:val="18"/>
  </w:num>
  <w:num w:numId="9">
    <w:abstractNumId w:val="16"/>
  </w:num>
  <w:num w:numId="10">
    <w:abstractNumId w:val="10"/>
  </w:num>
  <w:num w:numId="11">
    <w:abstractNumId w:val="7"/>
  </w:num>
  <w:num w:numId="12">
    <w:abstractNumId w:val="2"/>
  </w:num>
  <w:num w:numId="13">
    <w:abstractNumId w:val="20"/>
  </w:num>
  <w:num w:numId="14">
    <w:abstractNumId w:val="22"/>
  </w:num>
  <w:num w:numId="15">
    <w:abstractNumId w:val="12"/>
  </w:num>
  <w:num w:numId="16">
    <w:abstractNumId w:val="21"/>
  </w:num>
  <w:num w:numId="17">
    <w:abstractNumId w:val="11"/>
  </w:num>
  <w:num w:numId="18">
    <w:abstractNumId w:val="1"/>
  </w:num>
  <w:num w:numId="19">
    <w:abstractNumId w:val="23"/>
  </w:num>
  <w:num w:numId="20">
    <w:abstractNumId w:val="26"/>
  </w:num>
  <w:num w:numId="21">
    <w:abstractNumId w:val="15"/>
  </w:num>
  <w:num w:numId="22">
    <w:abstractNumId w:val="14"/>
  </w:num>
  <w:num w:numId="23">
    <w:abstractNumId w:val="25"/>
  </w:num>
  <w:num w:numId="24">
    <w:abstractNumId w:val="6"/>
  </w:num>
  <w:num w:numId="25">
    <w:abstractNumId w:val="5"/>
  </w:num>
  <w:num w:numId="26">
    <w:abstractNumId w:val="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A48"/>
    <w:rsid w:val="000F6A48"/>
    <w:rsid w:val="00150FD2"/>
    <w:rsid w:val="00152C29"/>
    <w:rsid w:val="00186ADC"/>
    <w:rsid w:val="001C1859"/>
    <w:rsid w:val="001F0603"/>
    <w:rsid w:val="00270DD9"/>
    <w:rsid w:val="00393A18"/>
    <w:rsid w:val="003A6E8F"/>
    <w:rsid w:val="003F65EA"/>
    <w:rsid w:val="003F6EF9"/>
    <w:rsid w:val="00467B24"/>
    <w:rsid w:val="004A084C"/>
    <w:rsid w:val="004A3A78"/>
    <w:rsid w:val="004A611F"/>
    <w:rsid w:val="004A7C1A"/>
    <w:rsid w:val="004E225C"/>
    <w:rsid w:val="0058457C"/>
    <w:rsid w:val="006A051F"/>
    <w:rsid w:val="006D1654"/>
    <w:rsid w:val="006E57B4"/>
    <w:rsid w:val="00702C8F"/>
    <w:rsid w:val="0082733E"/>
    <w:rsid w:val="00856D84"/>
    <w:rsid w:val="00880324"/>
    <w:rsid w:val="0094171D"/>
    <w:rsid w:val="00961E66"/>
    <w:rsid w:val="00964C28"/>
    <w:rsid w:val="009F17B4"/>
    <w:rsid w:val="00A2200E"/>
    <w:rsid w:val="00A976E2"/>
    <w:rsid w:val="00C73462"/>
    <w:rsid w:val="00D15C76"/>
    <w:rsid w:val="00D92956"/>
    <w:rsid w:val="00E445C9"/>
    <w:rsid w:val="00E6327E"/>
    <w:rsid w:val="00E956D2"/>
    <w:rsid w:val="00FC44E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351A0"/>
  <w15:chartTrackingRefBased/>
  <w15:docId w15:val="{BF82734B-160F-4B78-B5F9-EFD399E9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F6A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186A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F6A48"/>
    <w:pPr>
      <w:ind w:left="720"/>
      <w:contextualSpacing/>
    </w:pPr>
  </w:style>
  <w:style w:type="character" w:customStyle="1" w:styleId="Overskrift2Tegn">
    <w:name w:val="Overskrift 2 Tegn"/>
    <w:basedOn w:val="Standardskrifttypeiafsnit"/>
    <w:link w:val="Overskrift2"/>
    <w:uiPriority w:val="9"/>
    <w:rsid w:val="000F6A48"/>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typeiafsnit"/>
    <w:link w:val="Overskrift1"/>
    <w:uiPriority w:val="9"/>
    <w:rsid w:val="00A2200E"/>
    <w:rPr>
      <w:rFonts w:asciiTheme="majorHAnsi" w:eastAsiaTheme="majorEastAsia" w:hAnsiTheme="majorHAnsi" w:cstheme="majorBidi"/>
      <w:color w:val="2E74B5" w:themeColor="accent1" w:themeShade="BF"/>
      <w:sz w:val="32"/>
      <w:szCs w:val="32"/>
    </w:rPr>
  </w:style>
  <w:style w:type="paragraph" w:styleId="Sidehoved">
    <w:name w:val="header"/>
    <w:basedOn w:val="Normal"/>
    <w:link w:val="SidehovedTegn"/>
    <w:uiPriority w:val="99"/>
    <w:unhideWhenUsed/>
    <w:rsid w:val="00A2200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2200E"/>
  </w:style>
  <w:style w:type="paragraph" w:styleId="Sidefod">
    <w:name w:val="footer"/>
    <w:basedOn w:val="Normal"/>
    <w:link w:val="SidefodTegn"/>
    <w:uiPriority w:val="99"/>
    <w:unhideWhenUsed/>
    <w:rsid w:val="00A2200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2200E"/>
  </w:style>
  <w:style w:type="table" w:styleId="Tabel-Gitter">
    <w:name w:val="Table Grid"/>
    <w:basedOn w:val="Tabel-Normal"/>
    <w:uiPriority w:val="39"/>
    <w:rsid w:val="004A3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6AD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186ADC"/>
    <w:rPr>
      <w:color w:val="0563C1" w:themeColor="hyperlink"/>
      <w:u w:val="single"/>
    </w:rPr>
  </w:style>
  <w:style w:type="character" w:customStyle="1" w:styleId="Overskrift3Tegn">
    <w:name w:val="Overskrift 3 Tegn"/>
    <w:basedOn w:val="Standardskrifttypeiafsnit"/>
    <w:link w:val="Overskrift3"/>
    <w:uiPriority w:val="9"/>
    <w:semiHidden/>
    <w:rsid w:val="00186AD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461411">
      <w:bodyDiv w:val="1"/>
      <w:marLeft w:val="0"/>
      <w:marRight w:val="0"/>
      <w:marTop w:val="0"/>
      <w:marBottom w:val="0"/>
      <w:divBdr>
        <w:top w:val="none" w:sz="0" w:space="0" w:color="auto"/>
        <w:left w:val="none" w:sz="0" w:space="0" w:color="auto"/>
        <w:bottom w:val="none" w:sz="0" w:space="0" w:color="auto"/>
        <w:right w:val="none" w:sz="0" w:space="0" w:color="auto"/>
      </w:divBdr>
    </w:div>
    <w:div w:id="1357190684">
      <w:bodyDiv w:val="1"/>
      <w:marLeft w:val="0"/>
      <w:marRight w:val="0"/>
      <w:marTop w:val="0"/>
      <w:marBottom w:val="0"/>
      <w:divBdr>
        <w:top w:val="none" w:sz="0" w:space="0" w:color="auto"/>
        <w:left w:val="none" w:sz="0" w:space="0" w:color="auto"/>
        <w:bottom w:val="none" w:sz="0" w:space="0" w:color="auto"/>
        <w:right w:val="none" w:sz="0" w:space="0" w:color="auto"/>
      </w:divBdr>
      <w:divsChild>
        <w:div w:id="1706518526">
          <w:marLeft w:val="0"/>
          <w:marRight w:val="0"/>
          <w:marTop w:val="0"/>
          <w:marBottom w:val="0"/>
          <w:divBdr>
            <w:top w:val="none" w:sz="0" w:space="0" w:color="auto"/>
            <w:left w:val="none" w:sz="0" w:space="0" w:color="auto"/>
            <w:bottom w:val="none" w:sz="0" w:space="0" w:color="auto"/>
            <w:right w:val="none" w:sz="0" w:space="0" w:color="auto"/>
          </w:divBdr>
          <w:divsChild>
            <w:div w:id="2004772223">
              <w:marLeft w:val="0"/>
              <w:marRight w:val="0"/>
              <w:marTop w:val="0"/>
              <w:marBottom w:val="0"/>
              <w:divBdr>
                <w:top w:val="none" w:sz="0" w:space="0" w:color="auto"/>
                <w:left w:val="none" w:sz="0" w:space="0" w:color="auto"/>
                <w:bottom w:val="none" w:sz="0" w:space="0" w:color="auto"/>
                <w:right w:val="none" w:sz="0" w:space="0" w:color="auto"/>
              </w:divBdr>
            </w:div>
          </w:divsChild>
        </w:div>
        <w:div w:id="1104498549">
          <w:marLeft w:val="0"/>
          <w:marRight w:val="0"/>
          <w:marTop w:val="0"/>
          <w:marBottom w:val="0"/>
          <w:divBdr>
            <w:top w:val="none" w:sz="0" w:space="0" w:color="auto"/>
            <w:left w:val="none" w:sz="0" w:space="0" w:color="auto"/>
            <w:bottom w:val="none" w:sz="0" w:space="0" w:color="auto"/>
            <w:right w:val="none" w:sz="0" w:space="0" w:color="auto"/>
          </w:divBdr>
          <w:divsChild>
            <w:div w:id="1066760793">
              <w:marLeft w:val="0"/>
              <w:marRight w:val="0"/>
              <w:marTop w:val="0"/>
              <w:marBottom w:val="0"/>
              <w:divBdr>
                <w:top w:val="none" w:sz="0" w:space="0" w:color="auto"/>
                <w:left w:val="none" w:sz="0" w:space="0" w:color="auto"/>
                <w:bottom w:val="none" w:sz="0" w:space="0" w:color="auto"/>
                <w:right w:val="none" w:sz="0" w:space="0" w:color="auto"/>
              </w:divBdr>
              <w:divsChild>
                <w:div w:id="1467891641">
                  <w:marLeft w:val="0"/>
                  <w:marRight w:val="0"/>
                  <w:marTop w:val="0"/>
                  <w:marBottom w:val="0"/>
                  <w:divBdr>
                    <w:top w:val="none" w:sz="0" w:space="0" w:color="auto"/>
                    <w:left w:val="none" w:sz="0" w:space="0" w:color="auto"/>
                    <w:bottom w:val="none" w:sz="0" w:space="0" w:color="auto"/>
                    <w:right w:val="none" w:sz="0" w:space="0" w:color="auto"/>
                  </w:divBdr>
                  <w:divsChild>
                    <w:div w:id="20563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16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817</Words>
  <Characters>4984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RGE</dc:creator>
  <cp:keywords/>
  <dc:description/>
  <cp:lastModifiedBy>RGE</cp:lastModifiedBy>
  <cp:revision>3</cp:revision>
  <dcterms:created xsi:type="dcterms:W3CDTF">2025-10-07T06:34:00Z</dcterms:created>
  <dcterms:modified xsi:type="dcterms:W3CDTF">2025-10-07T07:19:00Z</dcterms:modified>
</cp:coreProperties>
</file>