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A74C" w14:textId="77777777" w:rsidR="005743B2" w:rsidRDefault="0086433F" w:rsidP="00700654">
      <w:pPr>
        <w:pStyle w:val="Overskrift1"/>
      </w:pPr>
      <w:r>
        <w:t>Kina modul 2: Riget i midten</w:t>
      </w:r>
    </w:p>
    <w:p w14:paraId="7244F52F" w14:textId="77777777" w:rsidR="0086433F" w:rsidRDefault="0086433F"/>
    <w:p w14:paraId="5A7EFF76" w14:textId="22B4E0C7" w:rsidR="0086433F" w:rsidRPr="003362FA" w:rsidRDefault="00700654" w:rsidP="00B36469">
      <w:pPr>
        <w:rPr>
          <w:sz w:val="24"/>
          <w:szCs w:val="24"/>
        </w:rPr>
      </w:pPr>
      <w:r w:rsidRPr="003362FA">
        <w:rPr>
          <w:sz w:val="24"/>
          <w:szCs w:val="24"/>
        </w:rPr>
        <w:t>Hvad lavede vi sidst?</w:t>
      </w:r>
      <w:r w:rsidRPr="003362FA">
        <w:rPr>
          <w:sz w:val="24"/>
          <w:szCs w:val="24"/>
        </w:rPr>
        <w:br/>
      </w:r>
      <w:r w:rsidR="0086433F" w:rsidRPr="003362FA">
        <w:rPr>
          <w:sz w:val="24"/>
          <w:szCs w:val="24"/>
        </w:rPr>
        <w:t>Opsamling på den kinesiske drøm. Parsamtaler dernæst opsamling i plenum.</w:t>
      </w:r>
    </w:p>
    <w:p w14:paraId="551B4794" w14:textId="77777777" w:rsidR="0086433F" w:rsidRPr="003362FA" w:rsidRDefault="0086433F" w:rsidP="0086433F">
      <w:pPr>
        <w:pStyle w:val="Listeafsnit"/>
        <w:rPr>
          <w:lang w:val="da-DK"/>
        </w:rPr>
      </w:pPr>
    </w:p>
    <w:p w14:paraId="0B0A6D92" w14:textId="2118FC94" w:rsidR="00700654" w:rsidRPr="003362FA" w:rsidRDefault="0086433F" w:rsidP="0070065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362FA">
        <w:rPr>
          <w:rFonts w:asciiTheme="minorHAnsi" w:hAnsiTheme="minorHAnsi" w:cstheme="minorHAnsi"/>
        </w:rPr>
        <w:t xml:space="preserve">Dagens fokus: </w:t>
      </w:r>
    </w:p>
    <w:p w14:paraId="1398214F" w14:textId="783E59DD" w:rsidR="00700654" w:rsidRPr="003362FA" w:rsidRDefault="0086433F" w:rsidP="0070065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3362FA">
        <w:rPr>
          <w:rFonts w:asciiTheme="minorHAnsi" w:hAnsiTheme="minorHAnsi" w:cstheme="minorHAnsi"/>
          <w:i/>
          <w:iCs/>
          <w:color w:val="000000"/>
        </w:rPr>
        <w:t>Hvad kendetegnede Kinas selvforståelse i kejsertiden? </w:t>
      </w:r>
    </w:p>
    <w:p w14:paraId="1ACB5E51" w14:textId="5439520B" w:rsidR="0086433F" w:rsidRPr="003362FA" w:rsidRDefault="0086433F" w:rsidP="0070065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3362FA">
        <w:rPr>
          <w:rFonts w:asciiTheme="minorHAnsi" w:hAnsiTheme="minorHAnsi" w:cstheme="minorHAnsi"/>
          <w:i/>
          <w:iCs/>
          <w:color w:val="000000"/>
        </w:rPr>
        <w:t>Hvordan var det kinesiske samfund opbygget i kejsertiden?</w:t>
      </w:r>
      <w:r w:rsidRPr="003362FA">
        <w:rPr>
          <w:rFonts w:ascii="Cambria" w:hAnsiTheme="minorHAnsi" w:cs="Arial"/>
          <w:i/>
          <w:iCs/>
          <w:color w:val="000000"/>
        </w:rPr>
        <w:tab/>
      </w:r>
    </w:p>
    <w:p w14:paraId="578184A9" w14:textId="77777777" w:rsidR="00B36469" w:rsidRDefault="00B36469" w:rsidP="00B36469"/>
    <w:p w14:paraId="6CA8580F" w14:textId="3149719E" w:rsidR="00700654" w:rsidRDefault="00700654" w:rsidP="00700654">
      <w:pPr>
        <w:pStyle w:val="Overskrift2"/>
      </w:pPr>
      <w:r>
        <w:t>Kontekst</w:t>
      </w:r>
    </w:p>
    <w:p w14:paraId="74648E55" w14:textId="782A4605" w:rsidR="00B36469" w:rsidRPr="003362FA" w:rsidRDefault="00B36469" w:rsidP="00B36469">
      <w:pPr>
        <w:rPr>
          <w:sz w:val="24"/>
          <w:szCs w:val="24"/>
        </w:rPr>
      </w:pPr>
      <w:r w:rsidRPr="003362FA">
        <w:rPr>
          <w:sz w:val="24"/>
          <w:szCs w:val="24"/>
        </w:rPr>
        <w:t xml:space="preserve">Læs s. </w:t>
      </w:r>
      <w:r w:rsidR="00F21643" w:rsidRPr="003362FA">
        <w:rPr>
          <w:sz w:val="24"/>
          <w:szCs w:val="24"/>
        </w:rPr>
        <w:t>1</w:t>
      </w:r>
      <w:r w:rsidR="00E84A26" w:rsidRPr="003362FA">
        <w:rPr>
          <w:sz w:val="24"/>
          <w:szCs w:val="24"/>
        </w:rPr>
        <w:t>2</w:t>
      </w:r>
      <w:r w:rsidR="00F21643" w:rsidRPr="003362FA">
        <w:rPr>
          <w:sz w:val="24"/>
          <w:szCs w:val="24"/>
        </w:rPr>
        <w:t xml:space="preserve">-19 </w:t>
      </w:r>
      <w:r w:rsidR="0097284D" w:rsidRPr="003362FA">
        <w:rPr>
          <w:sz w:val="24"/>
          <w:szCs w:val="24"/>
        </w:rPr>
        <w:t>i kompendiet.</w:t>
      </w:r>
      <w:r w:rsidR="00E84A26" w:rsidRPr="003362FA">
        <w:rPr>
          <w:sz w:val="24"/>
          <w:szCs w:val="24"/>
        </w:rPr>
        <w:t xml:space="preserve"> (kompendiets sidetal og ikke bogens). Tag selv relevante noter.</w:t>
      </w:r>
    </w:p>
    <w:p w14:paraId="74F1C5BB" w14:textId="5F052E32" w:rsidR="0086433F" w:rsidRPr="003362FA" w:rsidRDefault="0086433F" w:rsidP="00B36469">
      <w:pPr>
        <w:rPr>
          <w:sz w:val="24"/>
          <w:szCs w:val="24"/>
        </w:rPr>
      </w:pPr>
      <w:r w:rsidRPr="003362FA">
        <w:rPr>
          <w:sz w:val="24"/>
          <w:szCs w:val="24"/>
        </w:rPr>
        <w:t>Spørgsmål til</w:t>
      </w:r>
      <w:r w:rsidR="00E84A26" w:rsidRPr="003362FA">
        <w:rPr>
          <w:sz w:val="24"/>
          <w:szCs w:val="24"/>
        </w:rPr>
        <w:t xml:space="preserve"> siderne</w:t>
      </w:r>
      <w:r w:rsidRPr="003362FA">
        <w:rPr>
          <w:sz w:val="24"/>
          <w:szCs w:val="24"/>
        </w:rPr>
        <w:t>:</w:t>
      </w:r>
      <w:r w:rsidRPr="003362FA">
        <w:rPr>
          <w:sz w:val="24"/>
          <w:szCs w:val="24"/>
        </w:rPr>
        <w:tab/>
      </w:r>
    </w:p>
    <w:p w14:paraId="7A3B90C4" w14:textId="77777777" w:rsidR="0086433F" w:rsidRPr="003362FA" w:rsidRDefault="0086433F" w:rsidP="0086433F">
      <w:pPr>
        <w:pStyle w:val="Listeafsnit"/>
        <w:numPr>
          <w:ilvl w:val="1"/>
          <w:numId w:val="1"/>
        </w:numPr>
        <w:rPr>
          <w:rFonts w:asciiTheme="minorHAnsi" w:cstheme="minorHAnsi"/>
          <w:i/>
          <w:iCs/>
          <w:lang w:val="da-DK"/>
        </w:rPr>
      </w:pPr>
      <w:r w:rsidRPr="003362FA">
        <w:rPr>
          <w:rFonts w:asciiTheme="minorHAnsi" w:cstheme="minorHAnsi"/>
          <w:i/>
          <w:iCs/>
          <w:lang w:val="da-DK"/>
        </w:rPr>
        <w:t xml:space="preserve">Hvordan adskilte </w:t>
      </w:r>
      <w:proofErr w:type="spellStart"/>
      <w:r w:rsidRPr="003362FA">
        <w:rPr>
          <w:rFonts w:asciiTheme="minorHAnsi" w:cstheme="minorHAnsi"/>
          <w:i/>
          <w:iCs/>
          <w:lang w:val="da-DK"/>
        </w:rPr>
        <w:t>Shang</w:t>
      </w:r>
      <w:proofErr w:type="spellEnd"/>
      <w:r w:rsidRPr="003362FA">
        <w:rPr>
          <w:rFonts w:asciiTheme="minorHAnsi" w:cstheme="minorHAnsi"/>
          <w:i/>
          <w:iCs/>
          <w:lang w:val="da-DK"/>
        </w:rPr>
        <w:t xml:space="preserve">-dynastiet sig fra det tidligere </w:t>
      </w:r>
      <w:proofErr w:type="spellStart"/>
      <w:r w:rsidRPr="003362FA">
        <w:rPr>
          <w:rFonts w:asciiTheme="minorHAnsi" w:cstheme="minorHAnsi"/>
          <w:i/>
          <w:iCs/>
          <w:lang w:val="da-DK"/>
        </w:rPr>
        <w:t>Xia</w:t>
      </w:r>
      <w:proofErr w:type="spellEnd"/>
      <w:r w:rsidRPr="003362FA">
        <w:rPr>
          <w:rFonts w:asciiTheme="minorHAnsi" w:cstheme="minorHAnsi"/>
          <w:i/>
          <w:iCs/>
          <w:lang w:val="da-DK"/>
        </w:rPr>
        <w:t>-dynasti?</w:t>
      </w:r>
    </w:p>
    <w:p w14:paraId="5A2D9687" w14:textId="77777777" w:rsidR="0086433F" w:rsidRPr="003362FA" w:rsidRDefault="0086433F" w:rsidP="0086433F">
      <w:pPr>
        <w:pStyle w:val="Listeafsnit"/>
        <w:numPr>
          <w:ilvl w:val="1"/>
          <w:numId w:val="1"/>
        </w:numPr>
        <w:rPr>
          <w:rFonts w:asciiTheme="minorHAnsi" w:cstheme="minorHAnsi"/>
          <w:i/>
          <w:iCs/>
          <w:lang w:val="da-DK"/>
        </w:rPr>
      </w:pPr>
      <w:r w:rsidRPr="003362FA">
        <w:rPr>
          <w:rFonts w:asciiTheme="minorHAnsi" w:cstheme="minorHAnsi"/>
          <w:i/>
          <w:iCs/>
          <w:lang w:val="da-DK"/>
        </w:rPr>
        <w:t xml:space="preserve">Hvad viser citatet af </w:t>
      </w:r>
      <w:proofErr w:type="spellStart"/>
      <w:r w:rsidRPr="003362FA">
        <w:rPr>
          <w:rFonts w:asciiTheme="minorHAnsi" w:cstheme="minorHAnsi"/>
          <w:i/>
          <w:iCs/>
          <w:lang w:val="da-DK"/>
        </w:rPr>
        <w:t>Konfucius</w:t>
      </w:r>
      <w:proofErr w:type="spellEnd"/>
      <w:r w:rsidRPr="003362FA">
        <w:rPr>
          <w:rFonts w:asciiTheme="minorHAnsi" w:cstheme="minorHAnsi"/>
          <w:i/>
          <w:iCs/>
          <w:lang w:val="da-DK"/>
        </w:rPr>
        <w:t xml:space="preserve"> på s. 13 i kompendiet? </w:t>
      </w:r>
    </w:p>
    <w:p w14:paraId="21F4A577" w14:textId="77777777" w:rsidR="0086433F" w:rsidRPr="003362FA" w:rsidRDefault="0086433F" w:rsidP="0086433F">
      <w:pPr>
        <w:pStyle w:val="Listeafsnit"/>
        <w:numPr>
          <w:ilvl w:val="1"/>
          <w:numId w:val="1"/>
        </w:numPr>
        <w:rPr>
          <w:rFonts w:asciiTheme="minorHAnsi" w:cstheme="minorHAnsi"/>
          <w:i/>
          <w:iCs/>
          <w:lang w:val="da-DK"/>
        </w:rPr>
      </w:pPr>
      <w:r w:rsidRPr="003362FA">
        <w:rPr>
          <w:rFonts w:asciiTheme="minorHAnsi" w:cstheme="minorHAnsi"/>
          <w:i/>
          <w:iCs/>
          <w:lang w:val="da-DK"/>
        </w:rPr>
        <w:t>Beskriv det sociale hierarki i kejsertiden.</w:t>
      </w:r>
    </w:p>
    <w:p w14:paraId="417C99B3" w14:textId="77777777" w:rsidR="0086433F" w:rsidRPr="003362FA" w:rsidRDefault="0086433F" w:rsidP="0086433F">
      <w:pPr>
        <w:pStyle w:val="Listeafsnit"/>
        <w:numPr>
          <w:ilvl w:val="1"/>
          <w:numId w:val="1"/>
        </w:numPr>
        <w:rPr>
          <w:rFonts w:asciiTheme="minorHAnsi" w:cstheme="minorHAnsi"/>
          <w:i/>
          <w:iCs/>
          <w:lang w:val="da-DK"/>
        </w:rPr>
      </w:pPr>
      <w:r w:rsidRPr="003362FA">
        <w:rPr>
          <w:rFonts w:asciiTheme="minorHAnsi" w:cstheme="minorHAnsi"/>
          <w:i/>
          <w:iCs/>
          <w:lang w:val="da-DK"/>
        </w:rPr>
        <w:t>Hvad er himlens mandat?</w:t>
      </w:r>
    </w:p>
    <w:p w14:paraId="64214F34" w14:textId="77777777" w:rsidR="0086433F" w:rsidRPr="003362FA" w:rsidRDefault="0086433F" w:rsidP="0086433F">
      <w:pPr>
        <w:pStyle w:val="Listeafsnit"/>
        <w:numPr>
          <w:ilvl w:val="1"/>
          <w:numId w:val="1"/>
        </w:numPr>
        <w:rPr>
          <w:rFonts w:asciiTheme="minorHAnsi" w:cstheme="minorHAnsi"/>
          <w:i/>
          <w:iCs/>
          <w:lang w:val="da-DK"/>
        </w:rPr>
      </w:pPr>
      <w:r w:rsidRPr="003362FA">
        <w:rPr>
          <w:rFonts w:asciiTheme="minorHAnsi" w:cstheme="minorHAnsi"/>
          <w:i/>
          <w:iCs/>
          <w:lang w:val="da-DK"/>
        </w:rPr>
        <w:t>Forklar begreberne Li og fa.</w:t>
      </w:r>
    </w:p>
    <w:p w14:paraId="6CE85C4C" w14:textId="77777777" w:rsidR="0086433F" w:rsidRPr="003362FA" w:rsidRDefault="0086433F" w:rsidP="0086433F">
      <w:pPr>
        <w:pStyle w:val="Listeafsnit"/>
        <w:numPr>
          <w:ilvl w:val="1"/>
          <w:numId w:val="1"/>
        </w:numPr>
        <w:rPr>
          <w:rFonts w:asciiTheme="minorHAnsi" w:cstheme="minorHAnsi"/>
          <w:i/>
          <w:iCs/>
          <w:lang w:val="da-DK"/>
        </w:rPr>
      </w:pPr>
      <w:r w:rsidRPr="003362FA">
        <w:rPr>
          <w:rFonts w:asciiTheme="minorHAnsi" w:cstheme="minorHAnsi"/>
          <w:i/>
          <w:iCs/>
          <w:lang w:val="da-DK"/>
        </w:rPr>
        <w:t>Hvorfor har demokratiske strømninger tilsyneladende haft trange kår i Kina?</w:t>
      </w:r>
    </w:p>
    <w:p w14:paraId="2929CAB8" w14:textId="77777777" w:rsidR="0086433F" w:rsidRPr="003362FA" w:rsidRDefault="0086433F" w:rsidP="0086433F">
      <w:pPr>
        <w:pStyle w:val="Listeafsnit"/>
        <w:numPr>
          <w:ilvl w:val="1"/>
          <w:numId w:val="1"/>
        </w:numPr>
        <w:rPr>
          <w:rFonts w:asciiTheme="minorHAnsi" w:cstheme="minorHAnsi"/>
          <w:i/>
          <w:iCs/>
          <w:lang w:val="da-DK"/>
        </w:rPr>
      </w:pPr>
      <w:r w:rsidRPr="003362FA">
        <w:rPr>
          <w:rFonts w:asciiTheme="minorHAnsi" w:cstheme="minorHAnsi"/>
          <w:i/>
          <w:iCs/>
          <w:lang w:val="da-DK"/>
        </w:rPr>
        <w:t xml:space="preserve">Hvilken selvopfattelse havde kineserne i kejsertiden? </w:t>
      </w:r>
    </w:p>
    <w:p w14:paraId="4352B91B" w14:textId="77777777" w:rsidR="0086433F" w:rsidRPr="00CC091D" w:rsidRDefault="0086433F" w:rsidP="0086433F">
      <w:pPr>
        <w:pStyle w:val="Listeafsnit"/>
        <w:ind w:left="1440"/>
        <w:rPr>
          <w:lang w:val="da-DK"/>
        </w:rPr>
      </w:pPr>
    </w:p>
    <w:p w14:paraId="64C9E6C3" w14:textId="77777777" w:rsidR="0086433F" w:rsidRPr="00CC7E14" w:rsidRDefault="0086433F" w:rsidP="00E84A26"/>
    <w:p w14:paraId="2BC1C2AD" w14:textId="40F79FE9" w:rsidR="00B138A9" w:rsidRDefault="00E84A26" w:rsidP="00B138A9">
      <w:pPr>
        <w:pStyle w:val="Overskrift2"/>
      </w:pPr>
      <w:r w:rsidRPr="00CC091D">
        <w:t xml:space="preserve">Pararbejde – Himlens mandat og </w:t>
      </w:r>
      <w:proofErr w:type="spellStart"/>
      <w:r w:rsidRPr="00CC091D">
        <w:t>Hongwus</w:t>
      </w:r>
      <w:proofErr w:type="spellEnd"/>
      <w:r w:rsidRPr="00CC091D">
        <w:t xml:space="preserve"> erklæring. </w:t>
      </w:r>
    </w:p>
    <w:p w14:paraId="4356306D" w14:textId="77777777" w:rsidR="00B138A9" w:rsidRDefault="00B138A9" w:rsidP="00B138A9"/>
    <w:p w14:paraId="3F436670" w14:textId="042B1938" w:rsidR="00B138A9" w:rsidRPr="003362FA" w:rsidRDefault="00B138A9" w:rsidP="00B138A9">
      <w:pPr>
        <w:rPr>
          <w:rFonts w:cstheme="minorHAnsi"/>
          <w:sz w:val="24"/>
          <w:szCs w:val="24"/>
        </w:rPr>
      </w:pPr>
      <w:r w:rsidRPr="003362FA">
        <w:rPr>
          <w:rFonts w:cstheme="minorHAnsi"/>
          <w:sz w:val="24"/>
          <w:szCs w:val="24"/>
        </w:rPr>
        <w:t xml:space="preserve">Kilderne ligger selvstændigt på modulet, men også i kompendiet på s. </w:t>
      </w:r>
      <w:r w:rsidR="003362FA" w:rsidRPr="003362FA">
        <w:rPr>
          <w:rFonts w:cstheme="minorHAnsi"/>
          <w:sz w:val="24"/>
          <w:szCs w:val="24"/>
        </w:rPr>
        <w:t>20-22</w:t>
      </w:r>
      <w:r w:rsidR="003362FA" w:rsidRPr="003362FA">
        <w:rPr>
          <w:rFonts w:cstheme="minorHAnsi"/>
          <w:sz w:val="24"/>
          <w:szCs w:val="24"/>
        </w:rPr>
        <w:br/>
      </w:r>
    </w:p>
    <w:p w14:paraId="5C8CADAC" w14:textId="71F9B0EA" w:rsidR="00B138A9" w:rsidRPr="003362FA" w:rsidRDefault="00B138A9" w:rsidP="00B138A9">
      <w:pPr>
        <w:pStyle w:val="Listeafsnit"/>
        <w:numPr>
          <w:ilvl w:val="0"/>
          <w:numId w:val="3"/>
        </w:numPr>
        <w:spacing w:line="360" w:lineRule="auto"/>
        <w:rPr>
          <w:rFonts w:asciiTheme="minorHAnsi" w:cstheme="minorHAnsi"/>
          <w:lang w:val="da-DK"/>
        </w:rPr>
      </w:pPr>
      <w:r w:rsidRPr="003362FA">
        <w:rPr>
          <w:rFonts w:asciiTheme="minorHAnsi" w:cstheme="minorHAnsi"/>
          <w:lang w:val="da-DK"/>
        </w:rPr>
        <w:t>Læs begge kilder grundigt igennem.</w:t>
      </w:r>
      <w:r w:rsidRPr="003362FA">
        <w:rPr>
          <w:rFonts w:asciiTheme="minorHAnsi" w:cstheme="minorHAnsi"/>
          <w:lang w:val="da-DK"/>
        </w:rPr>
        <w:t xml:space="preserve"> (Ligger på modulet)</w:t>
      </w:r>
      <w:r w:rsidRPr="003362FA">
        <w:rPr>
          <w:rFonts w:asciiTheme="minorHAnsi" w:cstheme="minorHAnsi"/>
          <w:lang w:val="da-DK"/>
        </w:rPr>
        <w:t xml:space="preserve"> Slå alle ord op som I ikke forstår.</w:t>
      </w:r>
    </w:p>
    <w:p w14:paraId="1BEF84CA" w14:textId="77777777" w:rsidR="00B138A9" w:rsidRPr="003362FA" w:rsidRDefault="00B138A9" w:rsidP="00B138A9">
      <w:pPr>
        <w:pStyle w:val="Listeafsnit"/>
        <w:numPr>
          <w:ilvl w:val="0"/>
          <w:numId w:val="3"/>
        </w:numPr>
        <w:spacing w:line="360" w:lineRule="auto"/>
        <w:rPr>
          <w:rFonts w:asciiTheme="minorHAnsi" w:cstheme="minorHAnsi"/>
          <w:lang w:val="da-DK"/>
        </w:rPr>
      </w:pPr>
      <w:r w:rsidRPr="003362FA">
        <w:rPr>
          <w:rFonts w:asciiTheme="minorHAnsi" w:cstheme="minorHAnsi"/>
          <w:lang w:val="da-DK"/>
        </w:rPr>
        <w:t>Genfortæl kilderne for hinanden. Vær så præcise som muligt.</w:t>
      </w:r>
    </w:p>
    <w:p w14:paraId="4EC60309" w14:textId="77777777" w:rsidR="00B138A9" w:rsidRPr="003362FA" w:rsidRDefault="00B138A9" w:rsidP="00B138A9">
      <w:pPr>
        <w:pStyle w:val="Listeafsnit"/>
        <w:numPr>
          <w:ilvl w:val="0"/>
          <w:numId w:val="3"/>
        </w:numPr>
        <w:spacing w:line="360" w:lineRule="auto"/>
        <w:rPr>
          <w:rFonts w:asciiTheme="minorHAnsi" w:cstheme="minorHAnsi"/>
          <w:lang w:val="da-DK"/>
        </w:rPr>
      </w:pPr>
      <w:r w:rsidRPr="003362FA">
        <w:rPr>
          <w:rFonts w:asciiTheme="minorHAnsi" w:cstheme="minorHAnsi"/>
          <w:lang w:val="da-DK"/>
        </w:rPr>
        <w:t xml:space="preserve">Præsentér kilden (afsender, modtager, kildetype etc.) </w:t>
      </w:r>
    </w:p>
    <w:p w14:paraId="1D6F5F51" w14:textId="77777777" w:rsidR="00B138A9" w:rsidRPr="003362FA" w:rsidRDefault="00B138A9" w:rsidP="00B138A9">
      <w:pPr>
        <w:pStyle w:val="Listeafsnit"/>
        <w:numPr>
          <w:ilvl w:val="0"/>
          <w:numId w:val="3"/>
        </w:numPr>
        <w:spacing w:line="360" w:lineRule="auto"/>
        <w:rPr>
          <w:rFonts w:asciiTheme="minorHAnsi" w:cstheme="minorHAnsi"/>
          <w:lang w:val="da-DK"/>
        </w:rPr>
      </w:pPr>
      <w:r w:rsidRPr="003362FA">
        <w:rPr>
          <w:rFonts w:asciiTheme="minorHAnsi" w:cstheme="minorHAnsi"/>
          <w:lang w:val="da-DK"/>
        </w:rPr>
        <w:t xml:space="preserve">På et stykke papir skal I nu skrive temaer/emner/begivenheder ned som begge kilder berører. </w:t>
      </w:r>
    </w:p>
    <w:p w14:paraId="54A8613E" w14:textId="77777777" w:rsidR="00B138A9" w:rsidRPr="003362FA" w:rsidRDefault="00B138A9" w:rsidP="00B138A9">
      <w:pPr>
        <w:pStyle w:val="Listeafsnit"/>
        <w:numPr>
          <w:ilvl w:val="0"/>
          <w:numId w:val="3"/>
        </w:numPr>
        <w:spacing w:line="360" w:lineRule="auto"/>
        <w:rPr>
          <w:rFonts w:asciiTheme="minorHAnsi" w:cstheme="minorHAnsi"/>
          <w:lang w:val="da-DK"/>
        </w:rPr>
      </w:pPr>
      <w:r w:rsidRPr="003362FA">
        <w:rPr>
          <w:rFonts w:asciiTheme="minorHAnsi" w:cstheme="minorHAnsi"/>
          <w:lang w:val="da-DK"/>
        </w:rPr>
        <w:t>Formuler nu så mange problemstillinger som muligt til de temaer/emner/begivenheder som begge kilder berører. Brug spørgeordene hvorfor/hvordan.</w:t>
      </w:r>
    </w:p>
    <w:p w14:paraId="5AA777EA" w14:textId="77777777" w:rsidR="00B138A9" w:rsidRPr="003362FA" w:rsidRDefault="00B138A9" w:rsidP="00B138A9">
      <w:pPr>
        <w:pStyle w:val="Listeafsnit"/>
        <w:numPr>
          <w:ilvl w:val="0"/>
          <w:numId w:val="3"/>
        </w:numPr>
        <w:spacing w:line="360" w:lineRule="auto"/>
        <w:rPr>
          <w:rFonts w:asciiTheme="minorHAnsi" w:cstheme="minorHAnsi"/>
          <w:lang w:val="da-DK"/>
        </w:rPr>
      </w:pPr>
      <w:r w:rsidRPr="003362FA">
        <w:rPr>
          <w:rFonts w:asciiTheme="minorHAnsi" w:cstheme="minorHAnsi"/>
          <w:lang w:val="da-DK"/>
        </w:rPr>
        <w:t>Udvælg nu de to bedste problemstillinger som vi skal bruge i plenum</w:t>
      </w:r>
    </w:p>
    <w:p w14:paraId="5A87EDFC" w14:textId="77777777" w:rsidR="00B138A9" w:rsidRPr="00B138A9" w:rsidRDefault="00B138A9" w:rsidP="00B138A9"/>
    <w:sectPr w:rsidR="00B138A9" w:rsidRPr="00B138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31D2"/>
    <w:multiLevelType w:val="hybridMultilevel"/>
    <w:tmpl w:val="235AA1A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23C09"/>
    <w:multiLevelType w:val="hybridMultilevel"/>
    <w:tmpl w:val="2A30EBB0"/>
    <w:lvl w:ilvl="0" w:tplc="750833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D3A12"/>
    <w:multiLevelType w:val="hybridMultilevel"/>
    <w:tmpl w:val="C628841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21358">
    <w:abstractNumId w:val="0"/>
  </w:num>
  <w:num w:numId="2" w16cid:durableId="91584364">
    <w:abstractNumId w:val="1"/>
  </w:num>
  <w:num w:numId="3" w16cid:durableId="1916622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3F"/>
    <w:rsid w:val="000C7747"/>
    <w:rsid w:val="001057B5"/>
    <w:rsid w:val="003362FA"/>
    <w:rsid w:val="005743B2"/>
    <w:rsid w:val="00700654"/>
    <w:rsid w:val="0086433F"/>
    <w:rsid w:val="0097284D"/>
    <w:rsid w:val="00B138A9"/>
    <w:rsid w:val="00B36469"/>
    <w:rsid w:val="00CC7E14"/>
    <w:rsid w:val="00E84A26"/>
    <w:rsid w:val="00F2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4BF9"/>
  <w15:chartTrackingRefBased/>
  <w15:docId w15:val="{B8D8E778-F808-4FE6-9DEE-95FAE382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0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643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6433F"/>
    <w:pPr>
      <w:spacing w:after="0" w:line="240" w:lineRule="auto"/>
      <w:ind w:left="720"/>
      <w:contextualSpacing/>
    </w:pPr>
    <w:rPr>
      <w:rFonts w:ascii="Cambria" w:eastAsiaTheme="minorEastAsi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6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643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006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RGE</dc:creator>
  <cp:keywords/>
  <dc:description/>
  <cp:lastModifiedBy>Morten Saxild-Hansen</cp:lastModifiedBy>
  <cp:revision>2</cp:revision>
  <dcterms:created xsi:type="dcterms:W3CDTF">2025-12-01T18:33:00Z</dcterms:created>
  <dcterms:modified xsi:type="dcterms:W3CDTF">2025-12-01T18:33:00Z</dcterms:modified>
</cp:coreProperties>
</file>