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41496" w14:textId="77777777" w:rsidR="00FB4696" w:rsidRPr="002362B2" w:rsidRDefault="00FB4696" w:rsidP="002362B2">
      <w:pPr>
        <w:pStyle w:val="Overskrift1"/>
      </w:pPr>
      <w:r w:rsidRPr="002362B2">
        <w:t>Teori og begreber i historie:</w:t>
      </w:r>
    </w:p>
    <w:p w14:paraId="0D16A7FF" w14:textId="38BA625E" w:rsidR="00FB4696" w:rsidRPr="002362B2" w:rsidRDefault="00FB4696" w:rsidP="00FB4696">
      <w:pPr>
        <w:rPr>
          <w:rFonts w:ascii="Garamond" w:hAnsi="Garamond"/>
        </w:rPr>
      </w:pPr>
      <w:r w:rsidRPr="002362B2">
        <w:rPr>
          <w:rFonts w:ascii="Garamond" w:hAnsi="Garamond"/>
        </w:rPr>
        <w:t>Overvej hvorvidt det</w:t>
      </w:r>
      <w:r w:rsidR="00670B29">
        <w:rPr>
          <w:rFonts w:ascii="Garamond" w:hAnsi="Garamond"/>
        </w:rPr>
        <w:t xml:space="preserve"> er muligt at anvende</w:t>
      </w:r>
      <w:r w:rsidRPr="002362B2">
        <w:rPr>
          <w:rFonts w:ascii="Garamond" w:hAnsi="Garamond"/>
        </w:rPr>
        <w:t xml:space="preserve"> de teoretiske begreber: De fleste begreber er eksemplificeret og uddybet senere i dokumentet. </w:t>
      </w:r>
      <w:r w:rsidR="002362B2">
        <w:rPr>
          <w:rFonts w:ascii="Garamond" w:hAnsi="Garamond"/>
        </w:rPr>
        <w:br/>
        <w:t>Historiefaget er jo ikke så teoretisk tungt som andre fag. Derfor ”låner” historie ofte forskellige teoretiske tilgange til at beskrive historisk udvikling. Det påvirker derfor også historikerens syn og fokus på årsagsforklaringer og forklaring af historisk udvikling.</w:t>
      </w:r>
    </w:p>
    <w:p w14:paraId="39378B86" w14:textId="77777777" w:rsidR="00FB4696" w:rsidRDefault="00FB4696" w:rsidP="00FB4696">
      <w:pPr>
        <w:rPr>
          <w:rFonts w:ascii="Garamond" w:hAnsi="Garamond"/>
        </w:rPr>
      </w:pPr>
    </w:p>
    <w:p w14:paraId="22F05BC3" w14:textId="77777777" w:rsidR="002362B2" w:rsidRPr="002362B2" w:rsidRDefault="002362B2" w:rsidP="00FB4696">
      <w:pPr>
        <w:rPr>
          <w:rFonts w:ascii="Garamond" w:hAnsi="Garamond"/>
        </w:rPr>
      </w:pPr>
      <w:r>
        <w:rPr>
          <w:rFonts w:ascii="Garamond" w:hAnsi="Garamond"/>
        </w:rPr>
        <w:t>Ofte anvendte begreber:</w:t>
      </w:r>
    </w:p>
    <w:p w14:paraId="79FD17A3" w14:textId="77777777" w:rsidR="002362B2" w:rsidRPr="002362B2" w:rsidRDefault="002362B2" w:rsidP="002362B2">
      <w:pPr>
        <w:rPr>
          <w:rFonts w:ascii="Garamond" w:hAnsi="Garamond"/>
        </w:rPr>
      </w:pPr>
      <w:r w:rsidRPr="002362B2">
        <w:rPr>
          <w:rFonts w:ascii="Garamond" w:hAnsi="Garamond"/>
        </w:rPr>
        <w:t>Kildekritik – herunder det funktionelle kildebegreb</w:t>
      </w:r>
    </w:p>
    <w:p w14:paraId="7D80B336" w14:textId="77777777" w:rsidR="00FB4696" w:rsidRPr="002362B2" w:rsidRDefault="00FB4696" w:rsidP="00FB4696">
      <w:pPr>
        <w:rPr>
          <w:rFonts w:ascii="Garamond" w:hAnsi="Garamond"/>
        </w:rPr>
      </w:pPr>
      <w:proofErr w:type="spellStart"/>
      <w:r w:rsidRPr="002362B2">
        <w:rPr>
          <w:rFonts w:ascii="Garamond" w:hAnsi="Garamond"/>
        </w:rPr>
        <w:t>Idiografiske</w:t>
      </w:r>
      <w:proofErr w:type="spellEnd"/>
      <w:r w:rsidRPr="002362B2">
        <w:rPr>
          <w:rFonts w:ascii="Garamond" w:hAnsi="Garamond"/>
        </w:rPr>
        <w:t xml:space="preserve"> og </w:t>
      </w:r>
      <w:proofErr w:type="spellStart"/>
      <w:r w:rsidRPr="002362B2">
        <w:rPr>
          <w:rFonts w:ascii="Garamond" w:hAnsi="Garamond"/>
        </w:rPr>
        <w:t>nomotetiske</w:t>
      </w:r>
      <w:proofErr w:type="spellEnd"/>
      <w:r w:rsidRPr="002362B2">
        <w:rPr>
          <w:rFonts w:ascii="Garamond" w:hAnsi="Garamond"/>
        </w:rPr>
        <w:t xml:space="preserve"> forklaringer</w:t>
      </w:r>
    </w:p>
    <w:p w14:paraId="4D680724" w14:textId="77777777" w:rsidR="00FB4696" w:rsidRPr="002362B2" w:rsidRDefault="00FB4696" w:rsidP="00FB4696">
      <w:pPr>
        <w:rPr>
          <w:rFonts w:ascii="Garamond" w:hAnsi="Garamond"/>
        </w:rPr>
      </w:pPr>
      <w:r w:rsidRPr="002362B2">
        <w:rPr>
          <w:rFonts w:ascii="Garamond" w:hAnsi="Garamond"/>
        </w:rPr>
        <w:t>Historiesyn</w:t>
      </w:r>
    </w:p>
    <w:p w14:paraId="2AE6D8E8" w14:textId="77777777" w:rsidR="00FB4696" w:rsidRDefault="00FB4696" w:rsidP="00FB4696">
      <w:pPr>
        <w:rPr>
          <w:rFonts w:ascii="Garamond" w:hAnsi="Garamond"/>
        </w:rPr>
      </w:pPr>
      <w:r w:rsidRPr="002362B2">
        <w:rPr>
          <w:rFonts w:ascii="Garamond" w:hAnsi="Garamond"/>
        </w:rPr>
        <w:t>Kausal- og intentionelle-/motivforklaringer</w:t>
      </w:r>
      <w:r w:rsidR="002362B2">
        <w:rPr>
          <w:rFonts w:ascii="Garamond" w:hAnsi="Garamond"/>
        </w:rPr>
        <w:t xml:space="preserve">. </w:t>
      </w:r>
    </w:p>
    <w:p w14:paraId="751BF42D" w14:textId="77777777" w:rsidR="002362B2" w:rsidRPr="002362B2" w:rsidRDefault="002362B2" w:rsidP="00FB4696">
      <w:pPr>
        <w:rPr>
          <w:rFonts w:ascii="Garamond" w:hAnsi="Garamond"/>
        </w:rPr>
      </w:pPr>
      <w:r>
        <w:rPr>
          <w:rFonts w:ascii="Garamond" w:hAnsi="Garamond"/>
        </w:rPr>
        <w:t>Aktør og struktur.</w:t>
      </w:r>
    </w:p>
    <w:p w14:paraId="4C734F85" w14:textId="77777777" w:rsidR="00FB4696" w:rsidRPr="002362B2" w:rsidRDefault="00FB4696" w:rsidP="00FB4696">
      <w:pPr>
        <w:rPr>
          <w:rFonts w:ascii="Garamond" w:hAnsi="Garamond"/>
        </w:rPr>
      </w:pPr>
      <w:r w:rsidRPr="002362B2">
        <w:rPr>
          <w:rFonts w:ascii="Garamond" w:hAnsi="Garamond"/>
        </w:rPr>
        <w:t>Brud og kontinuitet</w:t>
      </w:r>
    </w:p>
    <w:p w14:paraId="7EBE6DD1" w14:textId="77777777" w:rsidR="00FB4696" w:rsidRPr="002362B2" w:rsidRDefault="00FB4696" w:rsidP="00FB4696">
      <w:pPr>
        <w:rPr>
          <w:rFonts w:ascii="Garamond" w:hAnsi="Garamond"/>
        </w:rPr>
      </w:pPr>
      <w:r w:rsidRPr="002362B2">
        <w:rPr>
          <w:rFonts w:ascii="Garamond" w:hAnsi="Garamond"/>
        </w:rPr>
        <w:t>Historiebrug</w:t>
      </w:r>
    </w:p>
    <w:p w14:paraId="6A87D639" w14:textId="77777777" w:rsidR="00FB4696" w:rsidRPr="002362B2" w:rsidRDefault="00FB4696" w:rsidP="00FB4696">
      <w:pPr>
        <w:rPr>
          <w:rFonts w:ascii="Garamond" w:hAnsi="Garamond"/>
        </w:rPr>
      </w:pPr>
      <w:r w:rsidRPr="002362B2">
        <w:rPr>
          <w:rFonts w:ascii="Garamond" w:hAnsi="Garamond"/>
        </w:rPr>
        <w:t>Erindringsfællesskab, kollektiv erindring</w:t>
      </w:r>
    </w:p>
    <w:p w14:paraId="783226BD" w14:textId="77777777" w:rsidR="00BE13DD" w:rsidRPr="002362B2" w:rsidRDefault="00BE13DD">
      <w:pPr>
        <w:rPr>
          <w:rFonts w:ascii="Garamond" w:hAnsi="Garamond"/>
        </w:rPr>
      </w:pPr>
    </w:p>
    <w:p w14:paraId="37051F4A" w14:textId="77777777" w:rsidR="00AB0F11" w:rsidRPr="002362B2" w:rsidRDefault="00FB4696" w:rsidP="002362B2">
      <w:pPr>
        <w:pStyle w:val="Overskrift1"/>
      </w:pPr>
      <w:r w:rsidRPr="002362B2">
        <w:t>Historiebevidsthed</w:t>
      </w:r>
    </w:p>
    <w:p w14:paraId="5A8E32D2" w14:textId="77777777" w:rsidR="00FB4696" w:rsidRDefault="00FB4696">
      <w:pPr>
        <w:rPr>
          <w:rFonts w:ascii="Garamond" w:hAnsi="Garamond"/>
        </w:rPr>
      </w:pPr>
    </w:p>
    <w:p w14:paraId="1C40936F" w14:textId="77777777" w:rsidR="002362B2" w:rsidRDefault="002362B2">
      <w:pPr>
        <w:rPr>
          <w:rFonts w:ascii="Garamond" w:hAnsi="Garamond"/>
        </w:rPr>
      </w:pPr>
      <w:r>
        <w:rPr>
          <w:rFonts w:ascii="Garamond" w:hAnsi="Garamond"/>
        </w:rPr>
        <w:t>Mennesket er historieskabt og historieskabende!</w:t>
      </w:r>
    </w:p>
    <w:p w14:paraId="7464C770" w14:textId="77777777" w:rsidR="002362B2" w:rsidRPr="002362B2" w:rsidRDefault="002362B2">
      <w:pPr>
        <w:rPr>
          <w:rFonts w:ascii="Garamond" w:hAnsi="Garamond"/>
        </w:rPr>
      </w:pPr>
    </w:p>
    <w:p w14:paraId="594403C7" w14:textId="77777777" w:rsidR="00AB0F11" w:rsidRPr="002362B2" w:rsidRDefault="00AB0F11">
      <w:pPr>
        <w:rPr>
          <w:rFonts w:ascii="Garamond" w:hAnsi="Garamond"/>
        </w:rPr>
      </w:pPr>
      <w:r w:rsidRPr="002362B2">
        <w:rPr>
          <w:rFonts w:ascii="Garamond" w:hAnsi="Garamond"/>
        </w:rPr>
        <w:t>”Historien kan ikke skilles fra historikeren” (Henri-</w:t>
      </w:r>
      <w:proofErr w:type="spellStart"/>
      <w:r w:rsidRPr="002362B2">
        <w:rPr>
          <w:rFonts w:ascii="Garamond" w:hAnsi="Garamond"/>
        </w:rPr>
        <w:t>Irénée</w:t>
      </w:r>
      <w:proofErr w:type="spellEnd"/>
      <w:r w:rsidRPr="002362B2">
        <w:rPr>
          <w:rFonts w:ascii="Garamond" w:hAnsi="Garamond"/>
        </w:rPr>
        <w:t xml:space="preserve"> </w:t>
      </w:r>
      <w:proofErr w:type="spellStart"/>
      <w:r w:rsidRPr="002362B2">
        <w:rPr>
          <w:rFonts w:ascii="Garamond" w:hAnsi="Garamond"/>
        </w:rPr>
        <w:t>Marrou</w:t>
      </w:r>
      <w:proofErr w:type="spellEnd"/>
      <w:r w:rsidRPr="002362B2">
        <w:rPr>
          <w:rFonts w:ascii="Garamond" w:hAnsi="Garamond"/>
        </w:rPr>
        <w:t xml:space="preserve">) </w:t>
      </w:r>
    </w:p>
    <w:p w14:paraId="2151DF4F" w14:textId="77777777" w:rsidR="00AB0F11" w:rsidRPr="002362B2" w:rsidRDefault="00AB0F11">
      <w:pPr>
        <w:rPr>
          <w:rFonts w:ascii="Garamond" w:hAnsi="Garamond"/>
        </w:rPr>
      </w:pPr>
      <w:r w:rsidRPr="002362B2">
        <w:rPr>
          <w:rFonts w:ascii="Garamond" w:hAnsi="Garamond"/>
        </w:rPr>
        <w:t xml:space="preserve">Historikeren ”finder” ikke fortiden, men ”konstruerer” den. (re)konstruerer den. </w:t>
      </w:r>
      <w:r w:rsidR="00EB7A50" w:rsidRPr="002362B2">
        <w:rPr>
          <w:rFonts w:ascii="Garamond" w:hAnsi="Garamond"/>
        </w:rPr>
        <w:t xml:space="preserve">Historie er analyse og fortolkning af fortiden. </w:t>
      </w:r>
    </w:p>
    <w:p w14:paraId="5CF09065" w14:textId="77777777" w:rsidR="00214ECF" w:rsidRPr="002362B2" w:rsidRDefault="00214ECF" w:rsidP="00214ECF">
      <w:pPr>
        <w:rPr>
          <w:rFonts w:ascii="Garamond" w:hAnsi="Garamond"/>
        </w:rPr>
      </w:pPr>
      <w:proofErr w:type="spellStart"/>
      <w:r w:rsidRPr="002362B2">
        <w:rPr>
          <w:rFonts w:ascii="Garamond" w:hAnsi="Garamond"/>
        </w:rPr>
        <w:t>Benedetto</w:t>
      </w:r>
      <w:proofErr w:type="spellEnd"/>
      <w:r w:rsidRPr="002362B2">
        <w:rPr>
          <w:rFonts w:ascii="Garamond" w:hAnsi="Garamond"/>
        </w:rPr>
        <w:t xml:space="preserve"> </w:t>
      </w:r>
      <w:proofErr w:type="spellStart"/>
      <w:r w:rsidRPr="002362B2">
        <w:rPr>
          <w:rFonts w:ascii="Garamond" w:hAnsi="Garamond"/>
        </w:rPr>
        <w:t>Croce</w:t>
      </w:r>
      <w:proofErr w:type="spellEnd"/>
      <w:r w:rsidRPr="002362B2">
        <w:rPr>
          <w:rFonts w:ascii="Garamond" w:hAnsi="Garamond"/>
        </w:rPr>
        <w:t xml:space="preserve"> (1866-1952) ”al historie er samtidshistorie”. Historieskrivningen er et barn af den tid, den bliver til i, og at historierne om fortiden skrives om igen og igen i lyset af ændringerne i nutiden. På den måde kan man tale om at historieskrivningen har sin egen historie.</w:t>
      </w:r>
    </w:p>
    <w:p w14:paraId="13E06376" w14:textId="77777777" w:rsidR="00FB4696" w:rsidRPr="002362B2" w:rsidRDefault="00FB4696" w:rsidP="00214ECF">
      <w:pPr>
        <w:rPr>
          <w:rFonts w:ascii="Garamond" w:hAnsi="Garamond"/>
        </w:rPr>
      </w:pPr>
    </w:p>
    <w:p w14:paraId="22546782" w14:textId="77777777" w:rsidR="00FB4696" w:rsidRPr="002362B2" w:rsidRDefault="00FB4696" w:rsidP="00214ECF">
      <w:pPr>
        <w:rPr>
          <w:rFonts w:ascii="Garamond" w:hAnsi="Garamond"/>
        </w:rPr>
      </w:pPr>
    </w:p>
    <w:p w14:paraId="1B139E33" w14:textId="77777777" w:rsidR="003B059B" w:rsidRPr="002362B2" w:rsidRDefault="002F60DE" w:rsidP="002362B2">
      <w:pPr>
        <w:jc w:val="center"/>
        <w:rPr>
          <w:rFonts w:ascii="Garamond" w:hAnsi="Garamond"/>
        </w:rPr>
      </w:pPr>
      <w:r>
        <w:rPr>
          <w:rFonts w:ascii="Garamond" w:hAnsi="Garamond"/>
        </w:rPr>
        <w:lastRenderedPageBreak/>
        <w:pict w14:anchorId="05D6E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52.5pt">
            <v:imagedata r:id="rId7" o:title="nutid-fortid-fremtid"/>
          </v:shape>
        </w:pict>
      </w:r>
    </w:p>
    <w:p w14:paraId="5E00E6F8" w14:textId="77777777" w:rsidR="003B059B" w:rsidRPr="002362B2" w:rsidRDefault="003B059B" w:rsidP="00214ECF">
      <w:pPr>
        <w:rPr>
          <w:rFonts w:ascii="Garamond" w:hAnsi="Garamond"/>
        </w:rPr>
      </w:pPr>
    </w:p>
    <w:p w14:paraId="63A9A81C" w14:textId="77777777" w:rsidR="003B059B" w:rsidRPr="002362B2" w:rsidRDefault="002F60DE" w:rsidP="003B059B">
      <w:pPr>
        <w:jc w:val="center"/>
        <w:rPr>
          <w:rFonts w:ascii="Garamond" w:hAnsi="Garamond"/>
        </w:rPr>
      </w:pPr>
      <w:r>
        <w:rPr>
          <w:rFonts w:ascii="Garamond" w:hAnsi="Garamond"/>
        </w:rPr>
        <w:pict w14:anchorId="2C795977">
          <v:shape id="_x0000_i1026" type="#_x0000_t75" style="width:423.5pt;height:276.5pt">
            <v:imagedata r:id="rId8" o:title="Forskellige fortolkninger af fortiden"/>
          </v:shape>
        </w:pict>
      </w:r>
    </w:p>
    <w:p w14:paraId="6A258F7D" w14:textId="77777777" w:rsidR="00214ECF" w:rsidRPr="002362B2" w:rsidRDefault="00214ECF">
      <w:pPr>
        <w:rPr>
          <w:rFonts w:ascii="Garamond" w:hAnsi="Garamond"/>
        </w:rPr>
      </w:pPr>
    </w:p>
    <w:p w14:paraId="3DFE94B0" w14:textId="77777777" w:rsidR="00AB0F11" w:rsidRPr="002362B2" w:rsidRDefault="00AB0F11">
      <w:pPr>
        <w:rPr>
          <w:rFonts w:ascii="Garamond" w:hAnsi="Garamond"/>
        </w:rPr>
      </w:pPr>
    </w:p>
    <w:p w14:paraId="6A9AFB74" w14:textId="77777777" w:rsidR="00AB0F11" w:rsidRPr="002362B2" w:rsidRDefault="00214ECF" w:rsidP="002362B2">
      <w:pPr>
        <w:pStyle w:val="Overskrift1"/>
      </w:pPr>
      <w:r w:rsidRPr="002362B2">
        <w:t>Hvad er en kilde?</w:t>
      </w:r>
    </w:p>
    <w:p w14:paraId="56AD70F9" w14:textId="77777777" w:rsidR="00214ECF" w:rsidRPr="002362B2" w:rsidRDefault="00214ECF" w:rsidP="00214ECF">
      <w:pPr>
        <w:rPr>
          <w:rFonts w:ascii="Garamond" w:hAnsi="Garamond"/>
        </w:rPr>
      </w:pPr>
    </w:p>
    <w:p w14:paraId="56D3E682" w14:textId="307FA581" w:rsidR="00AB0F11" w:rsidRPr="002362B2" w:rsidRDefault="00AB0F11">
      <w:pPr>
        <w:rPr>
          <w:rFonts w:ascii="Garamond" w:hAnsi="Garamond"/>
        </w:rPr>
      </w:pPr>
      <w:r w:rsidRPr="002362B2">
        <w:rPr>
          <w:rFonts w:ascii="Garamond" w:hAnsi="Garamond"/>
        </w:rPr>
        <w:t>”Hvad er en kilde?” Hvad som helst og in</w:t>
      </w:r>
      <w:r w:rsidR="00DA1388">
        <w:rPr>
          <w:rFonts w:ascii="Garamond" w:hAnsi="Garamond"/>
        </w:rPr>
        <w:t>g</w:t>
      </w:r>
      <w:r w:rsidRPr="002362B2">
        <w:rPr>
          <w:rFonts w:ascii="Garamond" w:hAnsi="Garamond"/>
        </w:rPr>
        <w:t xml:space="preserve">enting! </w:t>
      </w:r>
    </w:p>
    <w:p w14:paraId="1A3EF234" w14:textId="77777777" w:rsidR="00AB0F11" w:rsidRPr="002362B2" w:rsidRDefault="00AB0F11">
      <w:pPr>
        <w:rPr>
          <w:rFonts w:ascii="Garamond" w:hAnsi="Garamond"/>
        </w:rPr>
      </w:pPr>
      <w:r w:rsidRPr="002362B2">
        <w:rPr>
          <w:rFonts w:ascii="Garamond" w:hAnsi="Garamond"/>
        </w:rPr>
        <w:t xml:space="preserve">En kilde kan aldrig stå alene, men er altid en kilde ”til” noget. Og kilde til noget bliver den først, når den bliver sat i relation til et spørgsmål. Dermed giver spørgsmålet om gode og dårlige kilder sig selv. Det afhænger altså af hvad vi spørger om. </w:t>
      </w:r>
    </w:p>
    <w:p w14:paraId="7BDE7AB8" w14:textId="77777777" w:rsidR="00AB0F11" w:rsidRPr="002362B2" w:rsidRDefault="00AB0F11">
      <w:pPr>
        <w:rPr>
          <w:rFonts w:ascii="Garamond" w:hAnsi="Garamond"/>
          <w:b/>
        </w:rPr>
      </w:pPr>
      <w:r w:rsidRPr="002362B2">
        <w:rPr>
          <w:rFonts w:ascii="Garamond" w:hAnsi="Garamond"/>
        </w:rPr>
        <w:t xml:space="preserve">Det sker ved en større præcision i forståelsen af </w:t>
      </w:r>
      <w:r w:rsidRPr="002362B2">
        <w:rPr>
          <w:rFonts w:ascii="Garamond" w:hAnsi="Garamond"/>
          <w:b/>
        </w:rPr>
        <w:t>kildens indhold</w:t>
      </w:r>
      <w:r w:rsidRPr="002362B2">
        <w:rPr>
          <w:rFonts w:ascii="Garamond" w:hAnsi="Garamond"/>
        </w:rPr>
        <w:t xml:space="preserve">, </w:t>
      </w:r>
      <w:r w:rsidRPr="002362B2">
        <w:rPr>
          <w:rFonts w:ascii="Garamond" w:hAnsi="Garamond"/>
          <w:b/>
        </w:rPr>
        <w:t>oprindelse</w:t>
      </w:r>
      <w:r w:rsidRPr="002362B2">
        <w:rPr>
          <w:rFonts w:ascii="Garamond" w:hAnsi="Garamond"/>
        </w:rPr>
        <w:t xml:space="preserve"> og </w:t>
      </w:r>
      <w:r w:rsidRPr="002362B2">
        <w:rPr>
          <w:rFonts w:ascii="Garamond" w:hAnsi="Garamond"/>
          <w:b/>
        </w:rPr>
        <w:t>kontekst.</w:t>
      </w:r>
    </w:p>
    <w:p w14:paraId="2116F023" w14:textId="77777777" w:rsidR="00AB0F11" w:rsidRPr="002362B2" w:rsidRDefault="00AB0F11">
      <w:pPr>
        <w:rPr>
          <w:rFonts w:ascii="Garamond" w:hAnsi="Garamond"/>
        </w:rPr>
      </w:pPr>
    </w:p>
    <w:p w14:paraId="08073BF8" w14:textId="77777777" w:rsidR="00AB0F11" w:rsidRPr="002362B2" w:rsidRDefault="00AB0F11" w:rsidP="002362B2">
      <w:pPr>
        <w:pStyle w:val="Overskrift1"/>
      </w:pPr>
      <w:r w:rsidRPr="002362B2">
        <w:lastRenderedPageBreak/>
        <w:t xml:space="preserve">Tendenskritikken: </w:t>
      </w:r>
    </w:p>
    <w:p w14:paraId="189456FD" w14:textId="77777777" w:rsidR="00AB0F11" w:rsidRPr="002362B2" w:rsidRDefault="00D7491E">
      <w:pPr>
        <w:rPr>
          <w:rFonts w:ascii="Garamond" w:hAnsi="Garamond"/>
        </w:rPr>
      </w:pPr>
      <w:r w:rsidRPr="002362B2">
        <w:rPr>
          <w:rFonts w:ascii="Garamond" w:hAnsi="Garamond"/>
        </w:rPr>
        <w:t xml:space="preserve">Hvilken tendens møder vi her, hvilken mere eller mindre skjult dagsorden er bestemmende, hvilken ideologi afspejles her, til hvis fordel tjener det sagte? </w:t>
      </w:r>
      <w:r w:rsidRPr="002362B2">
        <w:rPr>
          <w:rFonts w:ascii="Garamond" w:hAnsi="Garamond"/>
        </w:rPr>
        <w:br/>
        <w:t xml:space="preserve">Teknisk set kan man definere tendens som den systematiske op- og nedprioritering af informationer (inklusive den absolutte nedprioritering, udeladelsen, og den absolutte opprioritering, tilføjelsen). </w:t>
      </w:r>
    </w:p>
    <w:p w14:paraId="0DD9DCBD" w14:textId="7EF94230" w:rsidR="00D7491E" w:rsidRPr="002362B2" w:rsidRDefault="00D7491E">
      <w:pPr>
        <w:rPr>
          <w:rFonts w:ascii="Garamond" w:hAnsi="Garamond"/>
        </w:rPr>
      </w:pPr>
      <w:r w:rsidRPr="002362B2">
        <w:rPr>
          <w:rFonts w:ascii="Garamond" w:hAnsi="Garamond"/>
        </w:rPr>
        <w:t xml:space="preserve">Skal befri os for naivitet, så vi i vores begejstring over at have fundet en god kilde ikke ”køber” et budskab, vi ved nærmere eftertanke ikke ville tage for påfyldende. Tendens er et mønster, og mønstre opdages gennem kontrast eller gentagelse. </w:t>
      </w:r>
      <w:r w:rsidR="00062211">
        <w:rPr>
          <w:rFonts w:ascii="Garamond" w:hAnsi="Garamond"/>
        </w:rPr>
        <w:t>Tendenser findes i ordenes lyd.</w:t>
      </w:r>
    </w:p>
    <w:p w14:paraId="79F5F44E" w14:textId="77777777" w:rsidR="00D7491E" w:rsidRPr="002362B2" w:rsidRDefault="00D7491E">
      <w:pPr>
        <w:rPr>
          <w:rFonts w:ascii="Garamond" w:hAnsi="Garamond"/>
        </w:rPr>
      </w:pPr>
    </w:p>
    <w:p w14:paraId="6BAA56A2" w14:textId="77777777" w:rsidR="00D7491E" w:rsidRPr="002362B2" w:rsidRDefault="00D7491E" w:rsidP="002362B2">
      <w:pPr>
        <w:pStyle w:val="Overskrift1"/>
      </w:pPr>
      <w:r w:rsidRPr="002362B2">
        <w:t xml:space="preserve">Kontekst: </w:t>
      </w:r>
    </w:p>
    <w:p w14:paraId="00CA8043" w14:textId="77777777" w:rsidR="002362B2" w:rsidRDefault="002362B2">
      <w:pPr>
        <w:rPr>
          <w:rFonts w:ascii="Garamond" w:hAnsi="Garamond"/>
        </w:rPr>
      </w:pPr>
    </w:p>
    <w:p w14:paraId="73A7441B" w14:textId="52134B7D" w:rsidR="00D7491E" w:rsidRDefault="00D7491E">
      <w:pPr>
        <w:rPr>
          <w:rFonts w:ascii="Garamond" w:hAnsi="Garamond"/>
        </w:rPr>
      </w:pPr>
      <w:r w:rsidRPr="002362B2">
        <w:rPr>
          <w:rFonts w:ascii="Garamond" w:hAnsi="Garamond"/>
        </w:rPr>
        <w:t>At forstå en kilde eller historisk fænomen og relatere d</w:t>
      </w:r>
      <w:r w:rsidR="00214ECF" w:rsidRPr="002362B2">
        <w:rPr>
          <w:rFonts w:ascii="Garamond" w:hAnsi="Garamond"/>
        </w:rPr>
        <w:t>en til sin oprindelige kontekst (sammenhæng).</w:t>
      </w:r>
      <w:r w:rsidR="002362B2">
        <w:rPr>
          <w:rFonts w:ascii="Garamond" w:hAnsi="Garamond"/>
        </w:rPr>
        <w:t xml:space="preserve"> Konteksten er super vigtig, og viser om I har overblik over jeres emne. I skal relatere kilderne til konteksten og forløbet fra undervisningen. </w:t>
      </w:r>
      <w:r w:rsidRPr="002362B2">
        <w:rPr>
          <w:rFonts w:ascii="Garamond" w:hAnsi="Garamond"/>
        </w:rPr>
        <w:t xml:space="preserve"> </w:t>
      </w:r>
    </w:p>
    <w:p w14:paraId="72ECC1BC" w14:textId="77777777" w:rsidR="002362B2" w:rsidRPr="002362B2" w:rsidRDefault="002362B2">
      <w:pPr>
        <w:rPr>
          <w:rFonts w:ascii="Garamond" w:hAnsi="Garamond"/>
        </w:rPr>
      </w:pPr>
      <w:r>
        <w:rPr>
          <w:rFonts w:ascii="Garamond" w:hAnsi="Garamond"/>
        </w:rPr>
        <w:t xml:space="preserve">Til eksamen skal I dog passe på med at starte med en for lang præsentation (redegørelse) af konteksten. Det vil derfor være en god idé at starte med at finde den eller de kilder som kan være med til at forklare den overordnede kontekst. På den måde sikrer man, at I kommer i gang med kilderne fra start. </w:t>
      </w:r>
    </w:p>
    <w:p w14:paraId="7FD12D53" w14:textId="77777777" w:rsidR="00D7491E" w:rsidRPr="002362B2" w:rsidRDefault="00D7491E">
      <w:pPr>
        <w:rPr>
          <w:rFonts w:ascii="Garamond" w:hAnsi="Garamond"/>
        </w:rPr>
      </w:pPr>
    </w:p>
    <w:p w14:paraId="16C4B5E0" w14:textId="77777777" w:rsidR="00D7491E" w:rsidRPr="002362B2" w:rsidRDefault="00D7491E" w:rsidP="002362B2">
      <w:pPr>
        <w:pStyle w:val="Overskrift1"/>
      </w:pPr>
      <w:r w:rsidRPr="002362B2">
        <w:t xml:space="preserve">Det funktionelle kildebegreb: </w:t>
      </w:r>
    </w:p>
    <w:p w14:paraId="13821B6F" w14:textId="77777777" w:rsidR="00D7491E" w:rsidRPr="002362B2" w:rsidRDefault="00D7491E">
      <w:pPr>
        <w:rPr>
          <w:rFonts w:ascii="Garamond" w:hAnsi="Garamond"/>
        </w:rPr>
      </w:pPr>
      <w:r w:rsidRPr="002362B2">
        <w:rPr>
          <w:rFonts w:ascii="Garamond" w:hAnsi="Garamond"/>
        </w:rPr>
        <w:t>At være kildekritisk er ikke en slavisk gennem</w:t>
      </w:r>
      <w:r w:rsidR="00C07659" w:rsidRPr="002362B2">
        <w:rPr>
          <w:rFonts w:ascii="Garamond" w:hAnsi="Garamond"/>
        </w:rPr>
        <w:t xml:space="preserve">gang af begreber. Det er de vurderinger man mener kan besvare en historisk problemstilling. Når man præsenterer en historisk analyse, vil man fremhæve de væsentligste pointer, som man i sin kildekritiske undersøgelser er nået frem til i forsøget på at besvare den historiske problemstilling. </w:t>
      </w:r>
    </w:p>
    <w:p w14:paraId="016328A0" w14:textId="77777777" w:rsidR="00C07659" w:rsidRPr="002362B2" w:rsidRDefault="00FB4696">
      <w:pPr>
        <w:rPr>
          <w:rFonts w:ascii="Garamond" w:hAnsi="Garamond"/>
        </w:rPr>
      </w:pPr>
      <w:r w:rsidRPr="002362B2">
        <w:rPr>
          <w:rFonts w:ascii="Garamond" w:hAnsi="Garamond"/>
        </w:rPr>
        <w:t>Drop den slaviske gennemgang af begreberne. Herunder primær og sekundær.</w:t>
      </w:r>
      <w:r w:rsidRPr="002362B2">
        <w:rPr>
          <w:rFonts w:ascii="Garamond" w:hAnsi="Garamond"/>
        </w:rPr>
        <w:br/>
        <w:t xml:space="preserve">Eks. </w:t>
      </w:r>
      <w:r w:rsidR="00C07659" w:rsidRPr="002362B2">
        <w:rPr>
          <w:rFonts w:ascii="Garamond" w:hAnsi="Garamond"/>
        </w:rPr>
        <w:t>”Cyklen er blå…” Hvis det ikke er vigtigt at cyklen er blå, så udelad det!</w:t>
      </w:r>
    </w:p>
    <w:p w14:paraId="541A378C" w14:textId="77777777" w:rsidR="00C07659" w:rsidRPr="002362B2" w:rsidRDefault="00C07659">
      <w:pPr>
        <w:rPr>
          <w:rFonts w:ascii="Garamond" w:hAnsi="Garamond"/>
        </w:rPr>
      </w:pPr>
    </w:p>
    <w:p w14:paraId="0CD1E342" w14:textId="77777777" w:rsidR="00214ECF" w:rsidRPr="002362B2" w:rsidRDefault="00214ECF">
      <w:pPr>
        <w:rPr>
          <w:rFonts w:ascii="Garamond" w:hAnsi="Garamond"/>
        </w:rPr>
      </w:pPr>
    </w:p>
    <w:p w14:paraId="6B082168" w14:textId="77777777" w:rsidR="00214ECF" w:rsidRPr="002362B2" w:rsidRDefault="00214ECF">
      <w:pPr>
        <w:rPr>
          <w:rFonts w:ascii="Garamond" w:hAnsi="Garamond"/>
        </w:rPr>
      </w:pPr>
    </w:p>
    <w:p w14:paraId="31F68918" w14:textId="77777777" w:rsidR="00214ECF" w:rsidRPr="002362B2" w:rsidRDefault="00214ECF">
      <w:pPr>
        <w:rPr>
          <w:rFonts w:ascii="Garamond" w:hAnsi="Garamond"/>
        </w:rPr>
      </w:pPr>
    </w:p>
    <w:p w14:paraId="59F6305D" w14:textId="77777777" w:rsidR="00C07659" w:rsidRPr="002362B2" w:rsidRDefault="002F60DE">
      <w:pPr>
        <w:rPr>
          <w:rFonts w:ascii="Garamond" w:hAnsi="Garamond"/>
        </w:rPr>
      </w:pPr>
      <w:r>
        <w:rPr>
          <w:rFonts w:ascii="Garamond" w:hAnsi="Garamond"/>
        </w:rPr>
        <w:pict w14:anchorId="62F3515F">
          <v:shape id="_x0000_i1027" type="#_x0000_t75" style="width:481.5pt;height:159.5pt">
            <v:imagedata r:id="rId9" o:title="historisk metode 3"/>
          </v:shape>
        </w:pict>
      </w:r>
    </w:p>
    <w:p w14:paraId="3EE70485" w14:textId="77777777" w:rsidR="00D7491E" w:rsidRPr="002362B2" w:rsidRDefault="00D7491E">
      <w:pPr>
        <w:rPr>
          <w:rFonts w:ascii="Garamond" w:hAnsi="Garamond"/>
        </w:rPr>
      </w:pPr>
    </w:p>
    <w:p w14:paraId="3FA530C4" w14:textId="77777777" w:rsidR="00C07659" w:rsidRPr="002362B2" w:rsidRDefault="00461CDD">
      <w:pPr>
        <w:rPr>
          <w:rFonts w:ascii="Garamond" w:hAnsi="Garamond"/>
          <w:u w:val="single"/>
        </w:rPr>
      </w:pPr>
      <w:r w:rsidRPr="002362B2">
        <w:rPr>
          <w:rFonts w:ascii="Garamond" w:hAnsi="Garamond"/>
          <w:u w:val="single"/>
        </w:rPr>
        <w:t xml:space="preserve">Undersøg ud fra skemaet kildekritik, hvad kilderne lægger op til. Husk at det er spørgsmålene, der styrer svarene og hvad der er interessant at komme ind på. </w:t>
      </w:r>
    </w:p>
    <w:p w14:paraId="3F4CAFDC" w14:textId="77777777" w:rsidR="00461CDD" w:rsidRPr="002362B2" w:rsidRDefault="00461CDD">
      <w:pPr>
        <w:rPr>
          <w:rFonts w:ascii="Garamond" w:hAnsi="Garamond"/>
        </w:rPr>
      </w:pPr>
    </w:p>
    <w:p w14:paraId="7C0370E5" w14:textId="77777777" w:rsidR="00461CDD" w:rsidRPr="002362B2" w:rsidRDefault="00461CDD">
      <w:pPr>
        <w:rPr>
          <w:rFonts w:ascii="Garamond" w:hAnsi="Garamond"/>
        </w:rPr>
      </w:pPr>
    </w:p>
    <w:p w14:paraId="2B0F0990" w14:textId="77777777" w:rsidR="00461CDD" w:rsidRPr="002362B2" w:rsidRDefault="00461CDD">
      <w:pPr>
        <w:rPr>
          <w:rFonts w:ascii="Garamond" w:hAnsi="Garamond"/>
        </w:rPr>
      </w:pPr>
    </w:p>
    <w:p w14:paraId="7AEEA343" w14:textId="77777777" w:rsidR="00C07659" w:rsidRPr="002362B2" w:rsidRDefault="00C07659" w:rsidP="002362B2">
      <w:pPr>
        <w:pStyle w:val="Overskrift1"/>
        <w:rPr>
          <w:rFonts w:eastAsiaTheme="minorHAnsi" w:cstheme="minorBidi"/>
          <w:color w:val="auto"/>
        </w:rPr>
      </w:pPr>
      <w:r w:rsidRPr="002362B2">
        <w:t>Periodisering</w:t>
      </w:r>
    </w:p>
    <w:p w14:paraId="2FFA4C42" w14:textId="77777777" w:rsidR="00C07659" w:rsidRPr="00C07659" w:rsidRDefault="00C07659" w:rsidP="00C07659">
      <w:pPr>
        <w:shd w:val="clear" w:color="auto" w:fill="FFFFFF"/>
        <w:spacing w:after="0" w:line="240" w:lineRule="auto"/>
        <w:rPr>
          <w:rFonts w:ascii="Garamond" w:eastAsia="Times New Roman" w:hAnsi="Garamond" w:cs="Arial"/>
          <w:color w:val="333333"/>
          <w:lang w:eastAsia="da-DK"/>
        </w:rPr>
      </w:pPr>
    </w:p>
    <w:p w14:paraId="304C50D3" w14:textId="77777777" w:rsidR="00C07659" w:rsidRPr="002362B2" w:rsidRDefault="00C07659" w:rsidP="00C07659">
      <w:pPr>
        <w:shd w:val="clear" w:color="auto" w:fill="FFFFFF"/>
        <w:spacing w:after="240" w:line="240" w:lineRule="auto"/>
        <w:rPr>
          <w:rFonts w:ascii="Garamond" w:eastAsia="Times New Roman" w:hAnsi="Garamond" w:cs="Arial"/>
          <w:color w:val="333333"/>
          <w:lang w:eastAsia="da-DK"/>
        </w:rPr>
      </w:pPr>
      <w:r w:rsidRPr="00C07659">
        <w:rPr>
          <w:rFonts w:ascii="Garamond" w:eastAsia="Times New Roman" w:hAnsi="Garamond" w:cs="Arial"/>
          <w:color w:val="333333"/>
          <w:lang w:eastAsia="da-DK"/>
        </w:rPr>
        <w:t>Hvilken tid handler fremstillingen om? Afgrænsningen i tid er også afgørende for fortællingen. På hvilket tidspunkt starter den? Hvornår – og især hvordan – afsluttes den? Disse overvejelser hænger sammen med det, man i </w:t>
      </w:r>
      <w:r w:rsidRPr="002362B2">
        <w:rPr>
          <w:rFonts w:ascii="Garamond" w:eastAsia="Times New Roman" w:hAnsi="Garamond" w:cs="Arial"/>
          <w:color w:val="333333"/>
          <w:lang w:eastAsia="da-DK"/>
        </w:rPr>
        <w:t>faghistorie</w:t>
      </w:r>
      <w:r w:rsidRPr="00C07659">
        <w:rPr>
          <w:rFonts w:ascii="Garamond" w:eastAsia="Times New Roman" w:hAnsi="Garamond" w:cs="Arial"/>
          <w:color w:val="333333"/>
          <w:lang w:eastAsia="da-DK"/>
        </w:rPr>
        <w:t> kalder </w:t>
      </w:r>
      <w:r w:rsidRPr="002362B2">
        <w:rPr>
          <w:rFonts w:ascii="Garamond" w:eastAsia="Times New Roman" w:hAnsi="Garamond" w:cs="Arial"/>
          <w:color w:val="333333"/>
          <w:lang w:eastAsia="da-DK"/>
        </w:rPr>
        <w:t>periodisering</w:t>
      </w:r>
      <w:r w:rsidRPr="00C07659">
        <w:rPr>
          <w:rFonts w:ascii="Garamond" w:eastAsia="Times New Roman" w:hAnsi="Garamond" w:cs="Arial"/>
          <w:color w:val="333333"/>
          <w:lang w:eastAsia="da-DK"/>
        </w:rPr>
        <w:t>. </w:t>
      </w:r>
      <w:r w:rsidRPr="002362B2">
        <w:rPr>
          <w:rFonts w:ascii="Garamond" w:eastAsia="Times New Roman" w:hAnsi="Garamond" w:cs="Arial"/>
          <w:color w:val="333333"/>
          <w:lang w:eastAsia="da-DK"/>
        </w:rPr>
        <w:t>Periodisering</w:t>
      </w:r>
      <w:r w:rsidRPr="00C07659">
        <w:rPr>
          <w:rFonts w:ascii="Garamond" w:eastAsia="Times New Roman" w:hAnsi="Garamond" w:cs="Arial"/>
          <w:color w:val="333333"/>
          <w:lang w:eastAsia="da-DK"/>
        </w:rPr>
        <w:t> er vanskeligt, fordi noget altid fortsætter, mens andet holder op: I alle historier vil der være både brud og </w:t>
      </w:r>
      <w:r w:rsidRPr="002362B2">
        <w:rPr>
          <w:rFonts w:ascii="Garamond" w:eastAsia="Times New Roman" w:hAnsi="Garamond" w:cs="Arial"/>
          <w:color w:val="333333"/>
          <w:lang w:eastAsia="da-DK"/>
        </w:rPr>
        <w:t>kontinuitet</w:t>
      </w:r>
      <w:r w:rsidRPr="00C07659">
        <w:rPr>
          <w:rFonts w:ascii="Garamond" w:eastAsia="Times New Roman" w:hAnsi="Garamond" w:cs="Arial"/>
          <w:color w:val="333333"/>
          <w:lang w:eastAsia="da-DK"/>
        </w:rPr>
        <w:t>. Periodiseringen i en </w:t>
      </w:r>
      <w:r w:rsidRPr="002362B2">
        <w:rPr>
          <w:rFonts w:ascii="Garamond" w:eastAsia="Times New Roman" w:hAnsi="Garamond" w:cs="Arial"/>
          <w:color w:val="333333"/>
          <w:lang w:eastAsia="da-DK"/>
        </w:rPr>
        <w:t>fremstilling</w:t>
      </w:r>
      <w:r w:rsidRPr="00C07659">
        <w:rPr>
          <w:rFonts w:ascii="Garamond" w:eastAsia="Times New Roman" w:hAnsi="Garamond" w:cs="Arial"/>
          <w:color w:val="333333"/>
          <w:lang w:eastAsia="da-DK"/>
        </w:rPr>
        <w:t> kan man kortlægge ved at lave en tidslinje med de vigtigste begivenheder, der omtales.</w:t>
      </w:r>
    </w:p>
    <w:p w14:paraId="7AC5881D" w14:textId="77777777" w:rsidR="00C07659" w:rsidRPr="002362B2" w:rsidRDefault="00C07659" w:rsidP="00C07659">
      <w:pPr>
        <w:shd w:val="clear" w:color="auto" w:fill="FFFFFF"/>
        <w:spacing w:after="240" w:line="240" w:lineRule="auto"/>
        <w:rPr>
          <w:rFonts w:ascii="Garamond" w:hAnsi="Garamond" w:cs="Arial"/>
          <w:color w:val="333333"/>
          <w:shd w:val="clear" w:color="auto" w:fill="FFFFFF"/>
        </w:rPr>
      </w:pPr>
      <w:r w:rsidRPr="002362B2">
        <w:rPr>
          <w:rFonts w:ascii="Garamond" w:hAnsi="Garamond" w:cs="Arial"/>
          <w:color w:val="333333"/>
          <w:shd w:val="clear" w:color="auto" w:fill="FFFFFF"/>
        </w:rPr>
        <w:t>Hvordan man periodiserer, kan have store konsekvenser for, hvilken historie der fortælles. Hvis man stopper sin periode ved noget, der fremstår som henholdsvis positivt eller negativt, får man en historie om henholdsvis fremgang eller tilbagegang (se også kapitel 1 om </w:t>
      </w:r>
      <w:r w:rsidRPr="002362B2">
        <w:rPr>
          <w:rStyle w:val="glossary-term"/>
          <w:rFonts w:ascii="Garamond" w:hAnsi="Garamond" w:cs="Arial"/>
          <w:color w:val="333333"/>
          <w:shd w:val="clear" w:color="auto" w:fill="FFFFFF"/>
        </w:rPr>
        <w:t>historiesyn</w:t>
      </w:r>
      <w:r w:rsidRPr="002362B2">
        <w:rPr>
          <w:rFonts w:ascii="Garamond" w:hAnsi="Garamond" w:cs="Arial"/>
          <w:color w:val="333333"/>
          <w:shd w:val="clear" w:color="auto" w:fill="FFFFFF"/>
        </w:rPr>
        <w:t>). Hvilke brud lægger man vægt på, når perioden skal afgrænses? Er der tale om et politiske, økonomiske, sociale eller kulturelle brud? Og på samme måde kan man overveje, hvad det er, der får perioden til at hænge sammen (det vil sige giver </w:t>
      </w:r>
      <w:r w:rsidRPr="002362B2">
        <w:rPr>
          <w:rStyle w:val="glossary-term"/>
          <w:rFonts w:ascii="Garamond" w:hAnsi="Garamond" w:cs="Arial"/>
          <w:color w:val="333333"/>
          <w:shd w:val="clear" w:color="auto" w:fill="FFFFFF"/>
        </w:rPr>
        <w:t>kontinuitet</w:t>
      </w:r>
      <w:r w:rsidRPr="002362B2">
        <w:rPr>
          <w:rFonts w:ascii="Garamond" w:hAnsi="Garamond" w:cs="Arial"/>
          <w:color w:val="333333"/>
          <w:shd w:val="clear" w:color="auto" w:fill="FFFFFF"/>
        </w:rPr>
        <w:t>)?</w:t>
      </w:r>
    </w:p>
    <w:p w14:paraId="0703BC19" w14:textId="77777777" w:rsidR="00FB4696" w:rsidRPr="002362B2" w:rsidRDefault="00FB4696" w:rsidP="00C07659">
      <w:pPr>
        <w:shd w:val="clear" w:color="auto" w:fill="FFFFFF"/>
        <w:spacing w:after="240" w:line="240" w:lineRule="auto"/>
        <w:rPr>
          <w:rFonts w:ascii="Garamond" w:hAnsi="Garamond" w:cs="Arial"/>
          <w:color w:val="333333"/>
          <w:shd w:val="clear" w:color="auto" w:fill="FFFFFF"/>
        </w:rPr>
      </w:pPr>
    </w:p>
    <w:p w14:paraId="3553AC6D" w14:textId="77777777" w:rsidR="00FB4696" w:rsidRPr="002362B2" w:rsidRDefault="00FB4696" w:rsidP="00FB4696">
      <w:pPr>
        <w:pStyle w:val="Overskrift2"/>
        <w:shd w:val="clear" w:color="auto" w:fill="E6E6E6"/>
        <w:spacing w:after="195" w:afterAutospacing="0"/>
        <w:rPr>
          <w:rFonts w:ascii="Garamond" w:hAnsi="Garamond" w:cs="Arial"/>
          <w:caps/>
          <w:color w:val="333333"/>
          <w:sz w:val="22"/>
          <w:szCs w:val="22"/>
        </w:rPr>
      </w:pPr>
      <w:r w:rsidRPr="002362B2">
        <w:rPr>
          <w:rFonts w:ascii="Garamond" w:hAnsi="Garamond" w:cs="Arial"/>
          <w:caps/>
          <w:color w:val="333333"/>
          <w:sz w:val="22"/>
          <w:szCs w:val="22"/>
        </w:rPr>
        <w:t>BRUD OG KONTINUITET I HISTORIEN? </w:t>
      </w:r>
    </w:p>
    <w:p w14:paraId="660AA4EA" w14:textId="77777777" w:rsidR="00FB4696" w:rsidRPr="002362B2" w:rsidRDefault="00FB4696" w:rsidP="00FB4696">
      <w:pPr>
        <w:pStyle w:val="NormalWeb"/>
        <w:shd w:val="clear" w:color="auto" w:fill="E6E6E6"/>
        <w:spacing w:before="0" w:beforeAutospacing="0" w:after="240" w:afterAutospacing="0"/>
        <w:rPr>
          <w:rFonts w:ascii="Garamond" w:hAnsi="Garamond" w:cs="Arial"/>
          <w:color w:val="333333"/>
          <w:sz w:val="22"/>
          <w:szCs w:val="22"/>
        </w:rPr>
      </w:pPr>
      <w:r w:rsidRPr="002362B2">
        <w:rPr>
          <w:rFonts w:ascii="Garamond" w:hAnsi="Garamond" w:cs="Arial"/>
          <w:color w:val="333333"/>
          <w:sz w:val="22"/>
          <w:szCs w:val="22"/>
        </w:rPr>
        <w:t>Når man skal forklare historisk forandring og udvikling, kan man anvende begreberne 'brud' og 'kontinuitet'.</w:t>
      </w:r>
    </w:p>
    <w:p w14:paraId="4165A49C" w14:textId="77777777" w:rsidR="00FB4696" w:rsidRPr="002362B2" w:rsidRDefault="00FB4696" w:rsidP="00FB4696">
      <w:pPr>
        <w:pStyle w:val="NormalWeb"/>
        <w:shd w:val="clear" w:color="auto" w:fill="E6E6E6"/>
        <w:spacing w:before="0" w:beforeAutospacing="0" w:after="240" w:afterAutospacing="0"/>
        <w:rPr>
          <w:rFonts w:ascii="Garamond" w:hAnsi="Garamond" w:cs="Arial"/>
          <w:color w:val="333333"/>
          <w:sz w:val="22"/>
          <w:szCs w:val="22"/>
        </w:rPr>
      </w:pPr>
      <w:r w:rsidRPr="002362B2">
        <w:rPr>
          <w:rFonts w:ascii="Garamond" w:hAnsi="Garamond" w:cs="Arial"/>
          <w:color w:val="333333"/>
          <w:sz w:val="22"/>
          <w:szCs w:val="22"/>
        </w:rPr>
        <w:t>Et </w:t>
      </w:r>
      <w:r w:rsidRPr="002362B2">
        <w:rPr>
          <w:rStyle w:val="glossary-term"/>
          <w:rFonts w:ascii="Garamond" w:eastAsiaTheme="majorEastAsia" w:hAnsi="Garamond" w:cs="Arial"/>
          <w:i/>
          <w:iCs/>
          <w:color w:val="333333"/>
          <w:sz w:val="22"/>
          <w:szCs w:val="22"/>
        </w:rPr>
        <w:t>brud</w:t>
      </w:r>
      <w:r w:rsidRPr="002362B2">
        <w:rPr>
          <w:rFonts w:ascii="Garamond" w:hAnsi="Garamond" w:cs="Arial"/>
          <w:color w:val="333333"/>
          <w:sz w:val="22"/>
          <w:szCs w:val="22"/>
        </w:rPr>
        <w:t> i den historiske udvikling kan fx udgøres af en begivenhed, der af historikerne tolkes som noget, der har medført en grundlæggende forandring. Omvendt taler man om </w:t>
      </w:r>
      <w:r w:rsidRPr="002362B2">
        <w:rPr>
          <w:rStyle w:val="glossary-term"/>
          <w:rFonts w:ascii="Garamond" w:eastAsiaTheme="majorEastAsia" w:hAnsi="Garamond" w:cs="Arial"/>
          <w:i/>
          <w:iCs/>
          <w:color w:val="333333"/>
          <w:sz w:val="22"/>
          <w:szCs w:val="22"/>
        </w:rPr>
        <w:t>kontinuitet</w:t>
      </w:r>
      <w:r w:rsidRPr="002362B2">
        <w:rPr>
          <w:rFonts w:ascii="Garamond" w:hAnsi="Garamond" w:cs="Arial"/>
          <w:color w:val="333333"/>
          <w:sz w:val="22"/>
          <w:szCs w:val="22"/>
        </w:rPr>
        <w:t>, når en begivenhed ikke forandrer noget afgørende, men blot indlejres i den historiske udvikling.</w:t>
      </w:r>
    </w:p>
    <w:p w14:paraId="7368DB52" w14:textId="77777777" w:rsidR="00FB4696" w:rsidRPr="002362B2" w:rsidRDefault="00FB4696" w:rsidP="00FB4696">
      <w:pPr>
        <w:pStyle w:val="NormalWeb"/>
        <w:shd w:val="clear" w:color="auto" w:fill="E6E6E6"/>
        <w:spacing w:before="0" w:beforeAutospacing="0" w:after="240" w:afterAutospacing="0"/>
        <w:rPr>
          <w:rFonts w:ascii="Garamond" w:hAnsi="Garamond" w:cs="Arial"/>
          <w:color w:val="333333"/>
          <w:sz w:val="22"/>
          <w:szCs w:val="22"/>
        </w:rPr>
      </w:pPr>
      <w:r w:rsidRPr="002362B2">
        <w:rPr>
          <w:rFonts w:ascii="Garamond" w:hAnsi="Garamond" w:cs="Arial"/>
          <w:color w:val="333333"/>
          <w:sz w:val="22"/>
          <w:szCs w:val="22"/>
        </w:rPr>
        <w:t xml:space="preserve">Som et eksempel på sondringen mellem brud og kontinuitet kan vi bruge Eric </w:t>
      </w:r>
      <w:proofErr w:type="spellStart"/>
      <w:r w:rsidRPr="002362B2">
        <w:rPr>
          <w:rFonts w:ascii="Garamond" w:hAnsi="Garamond" w:cs="Arial"/>
          <w:color w:val="333333"/>
          <w:sz w:val="22"/>
          <w:szCs w:val="22"/>
        </w:rPr>
        <w:t>Hobsbawms</w:t>
      </w:r>
      <w:proofErr w:type="spellEnd"/>
      <w:r w:rsidRPr="002362B2">
        <w:rPr>
          <w:rFonts w:ascii="Garamond" w:hAnsi="Garamond" w:cs="Arial"/>
          <w:color w:val="333333"/>
          <w:sz w:val="22"/>
          <w:szCs w:val="22"/>
        </w:rPr>
        <w:t xml:space="preserve"> periodisering i værket </w:t>
      </w:r>
      <w:r w:rsidRPr="002362B2">
        <w:rPr>
          <w:rStyle w:val="Fremhv"/>
          <w:rFonts w:ascii="Garamond" w:eastAsiaTheme="majorEastAsia" w:hAnsi="Garamond" w:cs="Arial"/>
          <w:color w:val="333333"/>
          <w:sz w:val="22"/>
          <w:szCs w:val="22"/>
        </w:rPr>
        <w:t>Ekstremernes århundrede - verdens historie 1914-1994 </w:t>
      </w:r>
      <w:r w:rsidRPr="002362B2">
        <w:rPr>
          <w:rFonts w:ascii="Garamond" w:hAnsi="Garamond" w:cs="Arial"/>
          <w:color w:val="333333"/>
          <w:sz w:val="22"/>
          <w:szCs w:val="22"/>
        </w:rPr>
        <w:t xml:space="preserve">(1994). </w:t>
      </w:r>
      <w:proofErr w:type="spellStart"/>
      <w:r w:rsidRPr="002362B2">
        <w:rPr>
          <w:rFonts w:ascii="Garamond" w:hAnsi="Garamond" w:cs="Arial"/>
          <w:color w:val="333333"/>
          <w:sz w:val="22"/>
          <w:szCs w:val="22"/>
        </w:rPr>
        <w:t>Hobsbawm</w:t>
      </w:r>
      <w:proofErr w:type="spellEnd"/>
      <w:r w:rsidRPr="002362B2">
        <w:rPr>
          <w:rFonts w:ascii="Garamond" w:hAnsi="Garamond" w:cs="Arial"/>
          <w:color w:val="333333"/>
          <w:sz w:val="22"/>
          <w:szCs w:val="22"/>
        </w:rPr>
        <w:t xml:space="preserve"> periodiserer den første halvdel af det 20. århundrede under overskriften "Katastrofernes tid: 1914-1945". Her tolkes 1. verdenskrigs udbrud som en historisk begivenhed, der markerer et afgørende brud i den historiske udvikling, mens udbruddet af 2. verdenskrig i 1939 blot indlejres som en kontinuerlig følge af den udvikling, som blev sat i gang af 1. verdenskrig. Omvendt ses 2. verdenskrigs afslutning i 1945 som et afgørende </w:t>
      </w:r>
      <w:r w:rsidRPr="002362B2">
        <w:rPr>
          <w:rStyle w:val="glossary-term"/>
          <w:rFonts w:ascii="Garamond" w:eastAsiaTheme="majorEastAsia" w:hAnsi="Garamond" w:cs="Arial"/>
          <w:color w:val="333333"/>
          <w:sz w:val="22"/>
          <w:szCs w:val="22"/>
        </w:rPr>
        <w:t>brud</w:t>
      </w:r>
      <w:r w:rsidRPr="002362B2">
        <w:rPr>
          <w:rFonts w:ascii="Garamond" w:hAnsi="Garamond" w:cs="Arial"/>
          <w:color w:val="333333"/>
          <w:sz w:val="22"/>
          <w:szCs w:val="22"/>
        </w:rPr>
        <w:t>, der grundlæggende forandrede den historiske udvikling med en ny verdensorden under amerikansk og sovjetisk indflydelse.</w:t>
      </w:r>
    </w:p>
    <w:p w14:paraId="18B2D326" w14:textId="77777777" w:rsidR="00FB4696" w:rsidRPr="002362B2" w:rsidRDefault="00FB4696" w:rsidP="00FB4696">
      <w:pPr>
        <w:pStyle w:val="NormalWeb"/>
        <w:shd w:val="clear" w:color="auto" w:fill="E6E6E6"/>
        <w:spacing w:before="0" w:beforeAutospacing="0" w:after="0" w:afterAutospacing="0"/>
        <w:rPr>
          <w:rFonts w:ascii="Garamond" w:hAnsi="Garamond" w:cs="Arial"/>
          <w:color w:val="333333"/>
          <w:sz w:val="22"/>
          <w:szCs w:val="22"/>
        </w:rPr>
      </w:pPr>
      <w:r w:rsidRPr="002362B2">
        <w:rPr>
          <w:rFonts w:ascii="Garamond" w:hAnsi="Garamond" w:cs="Arial"/>
          <w:color w:val="333333"/>
          <w:sz w:val="22"/>
          <w:szCs w:val="22"/>
        </w:rPr>
        <w:t>Man skal være opmærksom på, at opfattelsen af historiens brud og kontinuitet altid er udtryk for en fortolkning, der er knyttet til den enkelte historikers erkendelsesinteresse og historiesyn. Det, der umiddelbart opleves som et brud kan i virkeligheden blot være en del af en kontinuerlig udvikling over tid. I den nuværende historieforskning er der fx konsensus om at betegne 11. september 2001 som et </w:t>
      </w:r>
      <w:r w:rsidRPr="002362B2">
        <w:rPr>
          <w:rStyle w:val="glossary-term"/>
          <w:rFonts w:ascii="Garamond" w:eastAsiaTheme="majorEastAsia" w:hAnsi="Garamond" w:cs="Arial"/>
          <w:color w:val="333333"/>
          <w:sz w:val="22"/>
          <w:szCs w:val="22"/>
        </w:rPr>
        <w:t>brud</w:t>
      </w:r>
      <w:r w:rsidRPr="002362B2">
        <w:rPr>
          <w:rFonts w:ascii="Garamond" w:hAnsi="Garamond" w:cs="Arial"/>
          <w:color w:val="333333"/>
          <w:sz w:val="22"/>
          <w:szCs w:val="22"/>
        </w:rPr>
        <w:t> i verdens historie, men spørgsmålet er, om det også vil være tilfældet om 80 år?</w:t>
      </w:r>
    </w:p>
    <w:p w14:paraId="1F5B241C" w14:textId="77777777" w:rsidR="00FB4696" w:rsidRPr="002362B2" w:rsidRDefault="00FB4696" w:rsidP="00C07659">
      <w:pPr>
        <w:shd w:val="clear" w:color="auto" w:fill="FFFFFF"/>
        <w:spacing w:after="240" w:line="240" w:lineRule="auto"/>
        <w:rPr>
          <w:rFonts w:ascii="Garamond" w:hAnsi="Garamond" w:cs="Arial"/>
          <w:color w:val="333333"/>
          <w:shd w:val="clear" w:color="auto" w:fill="FFFFFF"/>
        </w:rPr>
      </w:pPr>
    </w:p>
    <w:p w14:paraId="06850EB5" w14:textId="77777777" w:rsidR="00461CDD" w:rsidRPr="00C07659" w:rsidRDefault="00461CDD" w:rsidP="00C07659">
      <w:pPr>
        <w:shd w:val="clear" w:color="auto" w:fill="FFFFFF"/>
        <w:spacing w:after="240" w:line="240" w:lineRule="auto"/>
        <w:rPr>
          <w:rFonts w:ascii="Garamond" w:eastAsia="Times New Roman" w:hAnsi="Garamond" w:cstheme="minorHAnsi"/>
          <w:color w:val="333333"/>
          <w:u w:val="single"/>
          <w:lang w:eastAsia="da-DK"/>
        </w:rPr>
      </w:pPr>
      <w:r w:rsidRPr="002362B2">
        <w:rPr>
          <w:rFonts w:ascii="Garamond" w:hAnsi="Garamond" w:cstheme="minorHAnsi"/>
          <w:color w:val="333333"/>
          <w:u w:val="single"/>
          <w:shd w:val="clear" w:color="auto" w:fill="FFFFFF"/>
        </w:rPr>
        <w:t xml:space="preserve">Undersøg periodiseringen og accepter, at det er en konstruktion. Hvordan er den lavet og hvilke brud/kontinuitet er bestemmende eller styrende for forløbet/kilderne/spørgsmålene.  </w:t>
      </w:r>
    </w:p>
    <w:p w14:paraId="3991E2A3" w14:textId="77777777" w:rsidR="00214ECF" w:rsidRPr="002362B2" w:rsidRDefault="00214ECF" w:rsidP="00214ECF">
      <w:pPr>
        <w:pStyle w:val="Overskrift3"/>
        <w:rPr>
          <w:rFonts w:ascii="Garamond" w:hAnsi="Garamond"/>
          <w:sz w:val="22"/>
          <w:szCs w:val="22"/>
        </w:rPr>
      </w:pPr>
    </w:p>
    <w:p w14:paraId="2CB0597D" w14:textId="77777777" w:rsidR="00C07659" w:rsidRPr="002362B2" w:rsidRDefault="00C07659" w:rsidP="002362B2">
      <w:pPr>
        <w:pStyle w:val="Overskrift1"/>
      </w:pPr>
      <w:r w:rsidRPr="002362B2">
        <w:t>Årsag og virkning </w:t>
      </w:r>
    </w:p>
    <w:p w14:paraId="0465D4D3" w14:textId="77777777" w:rsidR="00214ECF" w:rsidRPr="002362B2" w:rsidRDefault="00214ECF" w:rsidP="00C07659">
      <w:pPr>
        <w:pStyle w:val="NormalWeb"/>
        <w:shd w:val="clear" w:color="auto" w:fill="FFFFFF"/>
        <w:spacing w:before="0" w:beforeAutospacing="0" w:after="240" w:afterAutospacing="0"/>
        <w:rPr>
          <w:rFonts w:ascii="Garamond" w:hAnsi="Garamond" w:cs="Arial"/>
          <w:color w:val="333333"/>
          <w:sz w:val="22"/>
          <w:szCs w:val="22"/>
        </w:rPr>
      </w:pPr>
    </w:p>
    <w:p w14:paraId="51A24FE9" w14:textId="77777777" w:rsidR="00C07659" w:rsidRPr="002362B2" w:rsidRDefault="00C07659" w:rsidP="00C07659">
      <w:pPr>
        <w:pStyle w:val="NormalWeb"/>
        <w:shd w:val="clear" w:color="auto" w:fill="FFFFFF"/>
        <w:spacing w:before="0" w:beforeAutospacing="0" w:after="240" w:afterAutospacing="0"/>
        <w:rPr>
          <w:rFonts w:ascii="Garamond" w:hAnsi="Garamond" w:cs="Arial"/>
          <w:color w:val="333333"/>
          <w:sz w:val="22"/>
          <w:szCs w:val="22"/>
        </w:rPr>
      </w:pPr>
      <w:r w:rsidRPr="002362B2">
        <w:rPr>
          <w:rFonts w:ascii="Garamond" w:hAnsi="Garamond" w:cs="Arial"/>
          <w:color w:val="333333"/>
          <w:sz w:val="22"/>
          <w:szCs w:val="22"/>
        </w:rPr>
        <w:t>At fokusere på </w:t>
      </w:r>
      <w:r w:rsidRPr="002362B2">
        <w:rPr>
          <w:rStyle w:val="glossary-term"/>
          <w:rFonts w:ascii="Garamond" w:eastAsiaTheme="majorEastAsia" w:hAnsi="Garamond" w:cs="Arial"/>
          <w:color w:val="333333"/>
          <w:sz w:val="22"/>
          <w:szCs w:val="22"/>
        </w:rPr>
        <w:t>strukturer</w:t>
      </w:r>
      <w:r w:rsidRPr="002362B2">
        <w:rPr>
          <w:rFonts w:ascii="Garamond" w:hAnsi="Garamond" w:cs="Arial"/>
          <w:color w:val="333333"/>
          <w:sz w:val="22"/>
          <w:szCs w:val="22"/>
        </w:rPr>
        <w:t> frem for </w:t>
      </w:r>
      <w:r w:rsidRPr="002362B2">
        <w:rPr>
          <w:rStyle w:val="glossary-term"/>
          <w:rFonts w:ascii="Garamond" w:eastAsiaTheme="majorEastAsia" w:hAnsi="Garamond" w:cs="Arial"/>
          <w:color w:val="333333"/>
          <w:sz w:val="22"/>
          <w:szCs w:val="22"/>
        </w:rPr>
        <w:t>aktører</w:t>
      </w:r>
      <w:r w:rsidRPr="002362B2">
        <w:rPr>
          <w:rFonts w:ascii="Garamond" w:hAnsi="Garamond" w:cs="Arial"/>
          <w:color w:val="333333"/>
          <w:sz w:val="22"/>
          <w:szCs w:val="22"/>
        </w:rPr>
        <w:t> har stor betydning for, hvad man ser som historiske årsager og virkninger. Et aktørfokuseret </w:t>
      </w:r>
      <w:r w:rsidRPr="002362B2">
        <w:rPr>
          <w:rStyle w:val="glossary-term"/>
          <w:rFonts w:ascii="Garamond" w:eastAsiaTheme="majorEastAsia" w:hAnsi="Garamond" w:cs="Arial"/>
          <w:color w:val="333333"/>
          <w:sz w:val="22"/>
          <w:szCs w:val="22"/>
        </w:rPr>
        <w:t>historiesyn</w:t>
      </w:r>
      <w:r w:rsidRPr="002362B2">
        <w:rPr>
          <w:rFonts w:ascii="Garamond" w:hAnsi="Garamond" w:cs="Arial"/>
          <w:color w:val="333333"/>
          <w:sz w:val="22"/>
          <w:szCs w:val="22"/>
        </w:rPr>
        <w:t> vil lægge stor vægt på enkeltpersoners ideer, motiver og handlinger som årsag til historisk forandring. En aktørfokuseret forklaring på Anden Verdenskrig kan for eksempel fremhæve personen Adolf Hitler: hans retoriske evner, politiske ideer og måske endda hans ulykkelige barndom.</w:t>
      </w:r>
    </w:p>
    <w:p w14:paraId="5AE06C65" w14:textId="77777777" w:rsidR="00C07659" w:rsidRPr="002362B2" w:rsidRDefault="00C07659" w:rsidP="00C07659">
      <w:pPr>
        <w:pStyle w:val="NormalWeb"/>
        <w:shd w:val="clear" w:color="auto" w:fill="FFFFFF"/>
        <w:spacing w:before="0" w:beforeAutospacing="0" w:after="240" w:afterAutospacing="0"/>
        <w:rPr>
          <w:rFonts w:ascii="Garamond" w:hAnsi="Garamond" w:cs="Arial"/>
          <w:color w:val="333333"/>
          <w:sz w:val="22"/>
          <w:szCs w:val="22"/>
        </w:rPr>
      </w:pPr>
      <w:r w:rsidRPr="002362B2">
        <w:rPr>
          <w:rFonts w:ascii="Garamond" w:hAnsi="Garamond" w:cs="Arial"/>
          <w:color w:val="333333"/>
          <w:sz w:val="22"/>
          <w:szCs w:val="22"/>
        </w:rPr>
        <w:t>En samfundsvidenskabelig historiker vil vende forklaringen på hovedet: Hitler var faktisk ikke noget særligt i sig selv, men typisk for mellemkrigstidens Tyskland. I perioden op til Anden Verdenskrig vrimlede det med wannabe-”førere”, der gav jøderne, socialisterne og udlandet skylden for Tysklands elendighed og krævede demokratiet afskaffet. For at forstå optakten til Anden Verdenskrig må vi derfor kigge på de samfundsstrukturer, der gjorde udviklingen mulig. Det vil sige på de økonomiske, politiske og sociale betingelser, der førte til, at typer som Hitler opstod og kunne få tilhængere.</w:t>
      </w:r>
    </w:p>
    <w:p w14:paraId="6EAB34DB" w14:textId="77777777" w:rsidR="00C07659" w:rsidRPr="002362B2" w:rsidRDefault="00C07659" w:rsidP="00C07659">
      <w:pPr>
        <w:pStyle w:val="NormalWeb"/>
        <w:shd w:val="clear" w:color="auto" w:fill="FFFFFF"/>
        <w:spacing w:before="0" w:beforeAutospacing="0" w:after="240" w:afterAutospacing="0"/>
        <w:rPr>
          <w:rFonts w:ascii="Garamond" w:hAnsi="Garamond" w:cs="Arial"/>
          <w:color w:val="333333"/>
          <w:sz w:val="22"/>
          <w:szCs w:val="22"/>
        </w:rPr>
      </w:pPr>
      <w:r w:rsidRPr="002362B2">
        <w:rPr>
          <w:rFonts w:ascii="Garamond" w:hAnsi="Garamond" w:cs="Arial"/>
          <w:color w:val="333333"/>
          <w:sz w:val="22"/>
          <w:szCs w:val="22"/>
        </w:rPr>
        <w:t>Samtidig fører det ændrede fokus – fra aktør- til strukturniveau – til, at man har brug for at forklare forhold, som gjorde sig gældende for store grupper af mennesker. Dette medførte, at man interesserede sig for andre former for kildemateriale, og man måtte behandle dette kildemateriale på en anden måde for at kunne beskrive det fortidige forhold.</w:t>
      </w:r>
    </w:p>
    <w:p w14:paraId="3917B16A" w14:textId="77777777" w:rsidR="00C07659" w:rsidRPr="002362B2" w:rsidRDefault="00C07659">
      <w:pPr>
        <w:rPr>
          <w:rFonts w:ascii="Garamond" w:hAnsi="Garamond"/>
        </w:rPr>
      </w:pPr>
    </w:p>
    <w:p w14:paraId="5CFE1316" w14:textId="77777777" w:rsidR="00C07659" w:rsidRPr="002362B2" w:rsidRDefault="00C07659">
      <w:pPr>
        <w:rPr>
          <w:rFonts w:ascii="Garamond" w:hAnsi="Garamond"/>
          <w:u w:val="single"/>
        </w:rPr>
      </w:pPr>
      <w:r w:rsidRPr="002362B2">
        <w:rPr>
          <w:rFonts w:ascii="Garamond" w:hAnsi="Garamond"/>
          <w:u w:val="single"/>
        </w:rPr>
        <w:t xml:space="preserve">Vær opmærksom på hvad det er for et historiesyn, der kan være med til at beskrive den historiske udvikling. </w:t>
      </w:r>
      <w:r w:rsidR="00461CDD" w:rsidRPr="002362B2">
        <w:rPr>
          <w:rFonts w:ascii="Garamond" w:hAnsi="Garamond"/>
          <w:u w:val="single"/>
        </w:rPr>
        <w:t>Fokuseres der på aktører eller strukturer.</w:t>
      </w:r>
    </w:p>
    <w:p w14:paraId="1A2F1C32" w14:textId="77777777" w:rsidR="00214ECF" w:rsidRPr="002362B2" w:rsidRDefault="00214ECF">
      <w:pPr>
        <w:rPr>
          <w:rFonts w:ascii="Garamond" w:hAnsi="Garamond"/>
          <w:u w:val="single"/>
        </w:rPr>
      </w:pPr>
    </w:p>
    <w:p w14:paraId="1C595E8B" w14:textId="77777777" w:rsidR="00214ECF" w:rsidRPr="002362B2" w:rsidRDefault="00214ECF" w:rsidP="002362B2">
      <w:pPr>
        <w:pStyle w:val="Overskrift1"/>
        <w:rPr>
          <w:color w:val="666666"/>
        </w:rPr>
      </w:pPr>
      <w:r w:rsidRPr="002362B2">
        <w:t>Historiens udvikling - Aktør / struktur</w:t>
      </w:r>
    </w:p>
    <w:p w14:paraId="2B8CACB3" w14:textId="77777777" w:rsidR="00214ECF" w:rsidRPr="002362B2" w:rsidRDefault="00214ECF" w:rsidP="00214ECF">
      <w:pPr>
        <w:spacing w:before="300"/>
        <w:rPr>
          <w:rFonts w:ascii="Garamond" w:hAnsi="Garamond" w:cs="Arial"/>
          <w:color w:val="666666"/>
          <w:shd w:val="clear" w:color="auto" w:fill="FFFFFF"/>
        </w:rPr>
      </w:pPr>
      <w:r w:rsidRPr="002362B2">
        <w:rPr>
          <w:rFonts w:ascii="Garamond" w:hAnsi="Garamond" w:cs="Arial"/>
          <w:noProof/>
          <w:color w:val="666666"/>
          <w:shd w:val="clear" w:color="auto" w:fill="FFFFFF"/>
          <w:lang w:eastAsia="da-DK"/>
        </w:rPr>
        <w:drawing>
          <wp:inline distT="0" distB="0" distL="0" distR="0" wp14:anchorId="615C748E" wp14:editId="32F06592">
            <wp:extent cx="5854700" cy="2324100"/>
            <wp:effectExtent l="0" t="0" r="0" b="0"/>
            <wp:docPr id="2" name="Billed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700" cy="2324100"/>
                    </a:xfrm>
                    <a:prstGeom prst="rect">
                      <a:avLst/>
                    </a:prstGeom>
                    <a:noFill/>
                    <a:ln>
                      <a:noFill/>
                    </a:ln>
                  </pic:spPr>
                </pic:pic>
              </a:graphicData>
            </a:graphic>
          </wp:inline>
        </w:drawing>
      </w:r>
    </w:p>
    <w:p w14:paraId="4ECA1D54" w14:textId="77777777" w:rsidR="00214ECF" w:rsidRPr="002362B2" w:rsidRDefault="00214ECF" w:rsidP="002362B2">
      <w:pPr>
        <w:shd w:val="clear" w:color="auto" w:fill="FFFFFF"/>
        <w:spacing w:line="276" w:lineRule="auto"/>
        <w:rPr>
          <w:rFonts w:ascii="Garamond" w:hAnsi="Garamond" w:cs="Arial"/>
          <w:color w:val="666666"/>
        </w:rPr>
      </w:pPr>
      <w:r w:rsidRPr="002362B2">
        <w:rPr>
          <w:rFonts w:ascii="Garamond" w:hAnsi="Garamond" w:cs="Arial"/>
          <w:color w:val="020202"/>
        </w:rPr>
        <w:t> Hvorfor udvikler samfund sig i bestemte retninger?</w:t>
      </w:r>
      <w:r w:rsidRPr="002362B2">
        <w:rPr>
          <w:rFonts w:ascii="Garamond" w:hAnsi="Garamond" w:cs="Arial"/>
          <w:color w:val="020202"/>
        </w:rPr>
        <w:br/>
        <w:t>Er det historiens store personligheder, der gennem deres motiver, strategier, mål, værdier og midler driver forandringer frem?</w:t>
      </w:r>
      <w:r w:rsidRPr="002362B2">
        <w:rPr>
          <w:rFonts w:ascii="Garamond" w:hAnsi="Garamond" w:cs="Arial"/>
          <w:color w:val="020202"/>
        </w:rPr>
        <w:br/>
        <w:t>Eller er det samfundets økonomiske, kulturelle, politiske strukturer, der med deres regler, systemer, logikker og relationer skaber historien?</w:t>
      </w:r>
      <w:r w:rsidRPr="002362B2">
        <w:rPr>
          <w:rFonts w:ascii="Garamond" w:hAnsi="Garamond" w:cs="Arial"/>
          <w:color w:val="020202"/>
        </w:rPr>
        <w:br/>
      </w:r>
      <w:r w:rsidRPr="002362B2">
        <w:rPr>
          <w:rFonts w:ascii="Garamond" w:hAnsi="Garamond" w:cs="Arial"/>
          <w:color w:val="020202"/>
        </w:rPr>
        <w:lastRenderedPageBreak/>
        <w:t>Dette har været en grundlæggende konflikt i den historiske forskning over de seneste 100 år, og man kan opstille grundlæggende spørgsmål i den sammenhæng:</w:t>
      </w:r>
    </w:p>
    <w:p w14:paraId="3AD3F23D" w14:textId="77777777" w:rsidR="00214ECF" w:rsidRPr="002362B2" w:rsidRDefault="00214ECF" w:rsidP="002362B2">
      <w:pPr>
        <w:numPr>
          <w:ilvl w:val="0"/>
          <w:numId w:val="1"/>
        </w:numPr>
        <w:shd w:val="clear" w:color="auto" w:fill="FFFFFF"/>
        <w:spacing w:before="100" w:beforeAutospacing="1" w:after="100" w:afterAutospacing="1" w:line="276" w:lineRule="auto"/>
        <w:rPr>
          <w:rFonts w:ascii="Garamond" w:hAnsi="Garamond" w:cs="Arial"/>
          <w:color w:val="666666"/>
        </w:rPr>
      </w:pPr>
      <w:r w:rsidRPr="002362B2">
        <w:rPr>
          <w:rFonts w:ascii="Garamond" w:hAnsi="Garamond" w:cs="Arial"/>
          <w:color w:val="020202"/>
        </w:rPr>
        <w:t>Er det den konteksten, der bestemmer vores adfærd (strukturelle faktorer), eller er det individet, der skaber strukturerne (aktør-orienterede faktorer)?</w:t>
      </w:r>
    </w:p>
    <w:p w14:paraId="7000D604" w14:textId="77777777" w:rsidR="00214ECF" w:rsidRPr="002362B2" w:rsidRDefault="00214ECF" w:rsidP="002362B2">
      <w:pPr>
        <w:numPr>
          <w:ilvl w:val="0"/>
          <w:numId w:val="1"/>
        </w:numPr>
        <w:shd w:val="clear" w:color="auto" w:fill="FFFFFF"/>
        <w:spacing w:before="100" w:beforeAutospacing="1" w:after="100" w:afterAutospacing="1" w:line="276" w:lineRule="auto"/>
        <w:rPr>
          <w:rFonts w:ascii="Garamond" w:hAnsi="Garamond" w:cs="Arial"/>
          <w:color w:val="666666"/>
        </w:rPr>
      </w:pPr>
      <w:r w:rsidRPr="002362B2">
        <w:rPr>
          <w:rFonts w:ascii="Garamond" w:hAnsi="Garamond" w:cs="Arial"/>
          <w:color w:val="020202"/>
        </w:rPr>
        <w:t>Er vi som mennesker underlagt en determinisme, eller har vi en frie vilje? Er handlinger og begivenheder et uundgåeligt produkt af de specifikke omgivelser, eller har individet mulighed for at øve indflydelse på udviklingen?</w:t>
      </w:r>
    </w:p>
    <w:p w14:paraId="6B1F38B5" w14:textId="77777777" w:rsidR="00214ECF" w:rsidRPr="002362B2" w:rsidRDefault="00214ECF" w:rsidP="002362B2">
      <w:pPr>
        <w:shd w:val="clear" w:color="auto" w:fill="FFFFFF"/>
        <w:spacing w:after="0" w:line="276" w:lineRule="auto"/>
        <w:rPr>
          <w:rFonts w:ascii="Garamond" w:hAnsi="Garamond" w:cs="Arial"/>
          <w:color w:val="666666"/>
        </w:rPr>
      </w:pPr>
      <w:r w:rsidRPr="002362B2">
        <w:rPr>
          <w:rFonts w:ascii="Garamond" w:hAnsi="Garamond" w:cs="Arial"/>
          <w:color w:val="666666"/>
        </w:rPr>
        <w:br/>
      </w:r>
      <w:r w:rsidRPr="002362B2">
        <w:rPr>
          <w:rFonts w:ascii="Garamond" w:hAnsi="Garamond" w:cs="Arial"/>
          <w:color w:val="000000"/>
        </w:rPr>
        <w:t>Et af historiefagets vigtigste formål at forklare samfundsudvikling, hvad enten der er tale om kontinuitet eller brud. Til det formål sondres i historiefaget mellem på den ene side </w:t>
      </w:r>
      <w:r w:rsidRPr="002362B2">
        <w:rPr>
          <w:rStyle w:val="Strk"/>
          <w:rFonts w:ascii="Garamond" w:hAnsi="Garamond" w:cs="Arial"/>
          <w:i/>
          <w:iCs/>
          <w:color w:val="000000"/>
        </w:rPr>
        <w:t>strukturer</w:t>
      </w:r>
      <w:r w:rsidRPr="002362B2">
        <w:rPr>
          <w:rFonts w:ascii="Garamond" w:hAnsi="Garamond" w:cs="Arial"/>
          <w:color w:val="000000"/>
        </w:rPr>
        <w:t> og på den anden side </w:t>
      </w:r>
      <w:r w:rsidRPr="002362B2">
        <w:rPr>
          <w:rStyle w:val="Strk"/>
          <w:rFonts w:ascii="Garamond" w:hAnsi="Garamond" w:cs="Arial"/>
          <w:i/>
          <w:iCs/>
          <w:color w:val="000000"/>
        </w:rPr>
        <w:t>aktører</w:t>
      </w:r>
      <w:r w:rsidRPr="002362B2">
        <w:rPr>
          <w:rFonts w:ascii="Garamond" w:hAnsi="Garamond" w:cs="Arial"/>
          <w:color w:val="000000"/>
        </w:rPr>
        <w:t>.</w:t>
      </w:r>
      <w:r w:rsidRPr="002362B2">
        <w:rPr>
          <w:rFonts w:ascii="Garamond" w:hAnsi="Garamond" w:cs="Arial"/>
          <w:color w:val="000000"/>
        </w:rPr>
        <w:br/>
      </w:r>
      <w:r w:rsidRPr="002362B2">
        <w:rPr>
          <w:rFonts w:ascii="Garamond" w:hAnsi="Garamond" w:cs="Arial"/>
          <w:color w:val="000000"/>
        </w:rPr>
        <w:br/>
      </w:r>
      <w:r w:rsidRPr="002362B2">
        <w:rPr>
          <w:rStyle w:val="Strk"/>
          <w:rFonts w:ascii="Garamond" w:hAnsi="Garamond" w:cs="Arial"/>
          <w:i/>
          <w:iCs/>
          <w:color w:val="000000"/>
        </w:rPr>
        <w:t>Strukturer</w:t>
      </w:r>
      <w:r w:rsidRPr="002362B2">
        <w:rPr>
          <w:rFonts w:ascii="Garamond" w:hAnsi="Garamond" w:cs="Arial"/>
          <w:color w:val="000000"/>
        </w:rPr>
        <w:t> forklarer menneskelig udvikling som et produkt af historiske forhold, der begrænser og bestemmer det menneskelige handlerum. Det kan være </w:t>
      </w:r>
      <w:r w:rsidRPr="002362B2">
        <w:rPr>
          <w:rStyle w:val="Fremhv"/>
          <w:rFonts w:ascii="Garamond" w:hAnsi="Garamond" w:cs="Arial"/>
          <w:color w:val="000000"/>
        </w:rPr>
        <w:t>fysiske forhold</w:t>
      </w:r>
      <w:r w:rsidRPr="002362B2">
        <w:rPr>
          <w:rFonts w:ascii="Garamond" w:hAnsi="Garamond" w:cs="Arial"/>
          <w:color w:val="000000"/>
        </w:rPr>
        <w:t xml:space="preserve"> som en stats geografiske placering, klimaet, </w:t>
      </w:r>
      <w:proofErr w:type="gramStart"/>
      <w:r w:rsidRPr="002362B2">
        <w:rPr>
          <w:rFonts w:ascii="Garamond" w:hAnsi="Garamond" w:cs="Arial"/>
          <w:color w:val="000000"/>
        </w:rPr>
        <w:t>dyrelivet,  befolkningssammensætningen</w:t>
      </w:r>
      <w:proofErr w:type="gramEnd"/>
      <w:r w:rsidRPr="002362B2">
        <w:rPr>
          <w:rFonts w:ascii="Garamond" w:hAnsi="Garamond" w:cs="Arial"/>
          <w:color w:val="000000"/>
        </w:rPr>
        <w:t xml:space="preserve"> og tilsvarende. Det kan være </w:t>
      </w:r>
      <w:r w:rsidRPr="002362B2">
        <w:rPr>
          <w:rStyle w:val="Fremhv"/>
          <w:rFonts w:ascii="Garamond" w:hAnsi="Garamond" w:cs="Arial"/>
          <w:color w:val="000000"/>
        </w:rPr>
        <w:t>økonomiske forhold</w:t>
      </w:r>
      <w:r w:rsidRPr="002362B2">
        <w:rPr>
          <w:rFonts w:ascii="Garamond" w:hAnsi="Garamond" w:cs="Arial"/>
          <w:color w:val="000000"/>
        </w:rPr>
        <w:t> som markedsøkonomi eller planøkonomi, erhvervsstrukturer, handelsmønstre, teknologi og så videre.  Det kan være </w:t>
      </w:r>
      <w:r w:rsidRPr="002362B2">
        <w:rPr>
          <w:rStyle w:val="Fremhv"/>
          <w:rFonts w:ascii="Garamond" w:hAnsi="Garamond" w:cs="Arial"/>
          <w:color w:val="000000"/>
        </w:rPr>
        <w:t>kulturelle forhold</w:t>
      </w:r>
      <w:r w:rsidRPr="002362B2">
        <w:rPr>
          <w:rFonts w:ascii="Garamond" w:hAnsi="Garamond" w:cs="Arial"/>
          <w:color w:val="000000"/>
        </w:rPr>
        <w:t> som verdensbilledet, ideologiske strømninger, religion, tradition, selvforståelsen, mentalitet og lignende.</w:t>
      </w:r>
      <w:r w:rsidRPr="002362B2">
        <w:rPr>
          <w:rFonts w:ascii="Garamond" w:hAnsi="Garamond" w:cs="Arial"/>
          <w:color w:val="000000"/>
        </w:rPr>
        <w:br/>
      </w:r>
      <w:r w:rsidRPr="002362B2">
        <w:rPr>
          <w:rFonts w:ascii="Garamond" w:hAnsi="Garamond" w:cs="Arial"/>
          <w:color w:val="000000"/>
        </w:rPr>
        <w:br/>
      </w:r>
      <w:r w:rsidRPr="002362B2">
        <w:rPr>
          <w:rStyle w:val="Strk"/>
          <w:rFonts w:ascii="Garamond" w:hAnsi="Garamond" w:cs="Arial"/>
          <w:i/>
          <w:iCs/>
          <w:color w:val="000000"/>
        </w:rPr>
        <w:t>Aktører</w:t>
      </w:r>
      <w:r w:rsidRPr="002362B2">
        <w:rPr>
          <w:rFonts w:ascii="Garamond" w:hAnsi="Garamond" w:cs="Arial"/>
          <w:color w:val="000000"/>
        </w:rPr>
        <w:t> forklarer historisk udvikling som menneskeskabt, i den forstand at menneskets frie vilje og fornuft altid giver det en række valgmuligheder indenfor det handlerum, som de historieskabte strukturer sætter grænserne for. Man siger, at mennesket er </w:t>
      </w:r>
      <w:r w:rsidRPr="002362B2">
        <w:rPr>
          <w:rStyle w:val="Fremhv"/>
          <w:rFonts w:ascii="Garamond" w:hAnsi="Garamond" w:cs="Arial"/>
          <w:color w:val="000000"/>
        </w:rPr>
        <w:t>historiens agent</w:t>
      </w:r>
      <w:r w:rsidRPr="002362B2">
        <w:rPr>
          <w:rFonts w:ascii="Garamond" w:hAnsi="Garamond" w:cs="Arial"/>
          <w:color w:val="000000"/>
        </w:rPr>
        <w:t>. Vi ser her på en person, en gruppe personer, en bevægelse, et parti, en regering eller en organisation osv.</w:t>
      </w:r>
    </w:p>
    <w:p w14:paraId="27CF6F44" w14:textId="77777777" w:rsidR="00214ECF" w:rsidRPr="002362B2" w:rsidRDefault="00214ECF">
      <w:pPr>
        <w:rPr>
          <w:rFonts w:ascii="Garamond" w:hAnsi="Garamond"/>
          <w:u w:val="single"/>
        </w:rPr>
      </w:pPr>
    </w:p>
    <w:p w14:paraId="5BEC52C0" w14:textId="77777777" w:rsidR="003B059B" w:rsidRPr="002362B2" w:rsidRDefault="003B059B">
      <w:pPr>
        <w:rPr>
          <w:rFonts w:ascii="Garamond" w:hAnsi="Garamond"/>
          <w:u w:val="single"/>
        </w:rPr>
      </w:pPr>
    </w:p>
    <w:p w14:paraId="142F81CB" w14:textId="77777777" w:rsidR="003B059B" w:rsidRPr="002362B2" w:rsidRDefault="003B059B" w:rsidP="002362B2">
      <w:pPr>
        <w:pStyle w:val="Overskrift1"/>
      </w:pPr>
      <w:r w:rsidRPr="002362B2">
        <w:t>Historiebrug</w:t>
      </w:r>
    </w:p>
    <w:p w14:paraId="7D930DC0" w14:textId="77777777" w:rsidR="003B059B" w:rsidRPr="002362B2" w:rsidRDefault="003B059B" w:rsidP="003B059B">
      <w:pPr>
        <w:rPr>
          <w:rFonts w:ascii="Garamond" w:hAnsi="Garamond"/>
        </w:rPr>
      </w:pPr>
    </w:p>
    <w:p w14:paraId="0D838A1F" w14:textId="77777777" w:rsidR="003B059B" w:rsidRPr="002362B2" w:rsidRDefault="003B059B" w:rsidP="008D1469">
      <w:pPr>
        <w:jc w:val="center"/>
        <w:rPr>
          <w:rFonts w:ascii="Garamond" w:hAnsi="Garamond"/>
        </w:rPr>
      </w:pPr>
      <w:r w:rsidRPr="002362B2">
        <w:rPr>
          <w:rFonts w:ascii="Garamond" w:hAnsi="Garamond"/>
          <w:noProof/>
          <w:lang w:eastAsia="da-DK"/>
        </w:rPr>
        <w:drawing>
          <wp:inline distT="0" distB="0" distL="0" distR="0" wp14:anchorId="4B7560CA" wp14:editId="710EFB8C">
            <wp:extent cx="5449557" cy="2376805"/>
            <wp:effectExtent l="0" t="0" r="0" b="444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720" cy="2382110"/>
                    </a:xfrm>
                    <a:prstGeom prst="rect">
                      <a:avLst/>
                    </a:prstGeom>
                    <a:noFill/>
                    <a:ln>
                      <a:noFill/>
                    </a:ln>
                  </pic:spPr>
                </pic:pic>
              </a:graphicData>
            </a:graphic>
          </wp:inline>
        </w:drawing>
      </w:r>
    </w:p>
    <w:p w14:paraId="0A56750C" w14:textId="77777777" w:rsidR="003B059B" w:rsidRPr="002362B2" w:rsidRDefault="003B059B" w:rsidP="003B059B">
      <w:pPr>
        <w:rPr>
          <w:rFonts w:ascii="Garamond" w:hAnsi="Garamond"/>
        </w:rPr>
      </w:pPr>
    </w:p>
    <w:p w14:paraId="31D50029" w14:textId="77777777" w:rsidR="003B059B" w:rsidRPr="002362B2" w:rsidRDefault="003B059B" w:rsidP="003B059B">
      <w:pPr>
        <w:rPr>
          <w:rFonts w:ascii="Garamond" w:hAnsi="Garamond"/>
        </w:rPr>
      </w:pPr>
      <w:r w:rsidRPr="002362B2">
        <w:rPr>
          <w:rFonts w:ascii="Garamond" w:hAnsi="Garamond"/>
          <w:noProof/>
          <w:lang w:eastAsia="da-DK"/>
        </w:rPr>
        <w:lastRenderedPageBreak/>
        <w:drawing>
          <wp:inline distT="0" distB="0" distL="0" distR="0" wp14:anchorId="66D525B7" wp14:editId="1A14C110">
            <wp:extent cx="6120130" cy="244624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446240"/>
                    </a:xfrm>
                    <a:prstGeom prst="rect">
                      <a:avLst/>
                    </a:prstGeom>
                    <a:noFill/>
                    <a:ln>
                      <a:noFill/>
                    </a:ln>
                  </pic:spPr>
                </pic:pic>
              </a:graphicData>
            </a:graphic>
          </wp:inline>
        </w:drawing>
      </w:r>
    </w:p>
    <w:p w14:paraId="53740494" w14:textId="77777777" w:rsidR="003B059B" w:rsidRPr="002362B2" w:rsidRDefault="003B059B" w:rsidP="003B059B">
      <w:pPr>
        <w:rPr>
          <w:rFonts w:ascii="Garamond" w:hAnsi="Garamond"/>
        </w:rPr>
      </w:pPr>
    </w:p>
    <w:p w14:paraId="24E079E2" w14:textId="77777777" w:rsidR="002362B2" w:rsidRDefault="002362B2" w:rsidP="003B059B">
      <w:pPr>
        <w:rPr>
          <w:rFonts w:ascii="Garamond" w:hAnsi="Garamond"/>
        </w:rPr>
      </w:pPr>
    </w:p>
    <w:p w14:paraId="52B09DF4" w14:textId="77777777" w:rsidR="002362B2" w:rsidRDefault="002362B2" w:rsidP="003B059B">
      <w:pPr>
        <w:rPr>
          <w:rFonts w:ascii="Garamond" w:hAnsi="Garamond"/>
        </w:rPr>
      </w:pPr>
    </w:p>
    <w:p w14:paraId="5CA88516" w14:textId="77777777" w:rsidR="002362B2" w:rsidRDefault="002362B2" w:rsidP="003B059B">
      <w:pPr>
        <w:rPr>
          <w:rFonts w:ascii="Garamond" w:hAnsi="Garamond"/>
        </w:rPr>
      </w:pPr>
    </w:p>
    <w:p w14:paraId="480688F7" w14:textId="77777777" w:rsidR="003B059B" w:rsidRPr="002362B2" w:rsidRDefault="003B059B" w:rsidP="003B059B">
      <w:pPr>
        <w:rPr>
          <w:rFonts w:ascii="Garamond" w:hAnsi="Garamond"/>
        </w:rPr>
      </w:pPr>
      <w:r w:rsidRPr="002362B2">
        <w:rPr>
          <w:rFonts w:ascii="Garamond" w:hAnsi="Garamond"/>
        </w:rPr>
        <w:t xml:space="preserve">Eksempel: </w:t>
      </w:r>
    </w:p>
    <w:p w14:paraId="3DC13BC1" w14:textId="77777777" w:rsidR="003B059B" w:rsidRPr="002362B2" w:rsidRDefault="003B059B" w:rsidP="003B059B">
      <w:pPr>
        <w:rPr>
          <w:rFonts w:ascii="Garamond" w:hAnsi="Garamond"/>
        </w:rPr>
      </w:pPr>
      <w:r w:rsidRPr="002362B2">
        <w:rPr>
          <w:rFonts w:ascii="Garamond" w:hAnsi="Garamond"/>
          <w:noProof/>
          <w:lang w:eastAsia="da-DK"/>
        </w:rPr>
        <w:drawing>
          <wp:inline distT="0" distB="0" distL="0" distR="0" wp14:anchorId="293F45A6" wp14:editId="7B5FCC0A">
            <wp:extent cx="6120130" cy="2469859"/>
            <wp:effectExtent l="0" t="0" r="0"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469859"/>
                    </a:xfrm>
                    <a:prstGeom prst="rect">
                      <a:avLst/>
                    </a:prstGeom>
                    <a:noFill/>
                    <a:ln>
                      <a:noFill/>
                    </a:ln>
                  </pic:spPr>
                </pic:pic>
              </a:graphicData>
            </a:graphic>
          </wp:inline>
        </w:drawing>
      </w:r>
    </w:p>
    <w:p w14:paraId="391E34A7" w14:textId="77777777" w:rsidR="003B059B" w:rsidRPr="002362B2" w:rsidRDefault="003B059B" w:rsidP="003B059B">
      <w:pPr>
        <w:rPr>
          <w:rFonts w:ascii="Garamond" w:hAnsi="Garamond"/>
        </w:rPr>
      </w:pPr>
    </w:p>
    <w:p w14:paraId="56D6C6D4" w14:textId="77777777" w:rsidR="003B059B" w:rsidRPr="002362B2" w:rsidRDefault="003B059B" w:rsidP="003B059B">
      <w:pPr>
        <w:rPr>
          <w:rFonts w:ascii="Garamond" w:hAnsi="Garamond"/>
        </w:rPr>
      </w:pPr>
      <w:r w:rsidRPr="002362B2">
        <w:rPr>
          <w:rFonts w:ascii="Garamond" w:hAnsi="Garamond"/>
          <w:noProof/>
          <w:lang w:eastAsia="da-DK"/>
        </w:rPr>
        <w:lastRenderedPageBreak/>
        <w:drawing>
          <wp:inline distT="0" distB="0" distL="0" distR="0" wp14:anchorId="25239A90" wp14:editId="61ED54C3">
            <wp:extent cx="6120130" cy="2716371"/>
            <wp:effectExtent l="0" t="0" r="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716371"/>
                    </a:xfrm>
                    <a:prstGeom prst="rect">
                      <a:avLst/>
                    </a:prstGeom>
                    <a:noFill/>
                    <a:ln>
                      <a:noFill/>
                    </a:ln>
                  </pic:spPr>
                </pic:pic>
              </a:graphicData>
            </a:graphic>
          </wp:inline>
        </w:drawing>
      </w:r>
    </w:p>
    <w:p w14:paraId="08969CE5" w14:textId="77777777" w:rsidR="003B059B" w:rsidRDefault="003B059B" w:rsidP="003B059B">
      <w:pPr>
        <w:rPr>
          <w:rFonts w:ascii="Garamond" w:hAnsi="Garamond"/>
        </w:rPr>
      </w:pPr>
    </w:p>
    <w:p w14:paraId="150DA38F" w14:textId="77777777" w:rsidR="0031181B" w:rsidRDefault="0031181B" w:rsidP="003B059B">
      <w:pPr>
        <w:rPr>
          <w:rFonts w:ascii="Garamond" w:hAnsi="Garamond"/>
        </w:rPr>
      </w:pPr>
    </w:p>
    <w:p w14:paraId="4748586D" w14:textId="77777777" w:rsidR="0031181B" w:rsidRPr="002362B2" w:rsidRDefault="0031181B" w:rsidP="003B059B">
      <w:pPr>
        <w:rPr>
          <w:rFonts w:ascii="Garamond" w:hAnsi="Garamond"/>
        </w:rPr>
      </w:pPr>
      <w:r>
        <w:rPr>
          <w:rFonts w:ascii="Garamond" w:hAnsi="Garamond"/>
        </w:rPr>
        <w:t>Model til undersøgelse af historiebrug. Bemærk, at det er nogle andre begreber man undersøger end ved den traditionelle kildekritik</w:t>
      </w:r>
    </w:p>
    <w:p w14:paraId="3D751F45" w14:textId="77777777" w:rsidR="003B059B" w:rsidRPr="002362B2" w:rsidRDefault="002F60DE" w:rsidP="003B059B">
      <w:pPr>
        <w:rPr>
          <w:rFonts w:ascii="Garamond" w:hAnsi="Garamond"/>
        </w:rPr>
      </w:pPr>
      <w:r>
        <w:rPr>
          <w:rFonts w:ascii="Garamond" w:hAnsi="Garamond"/>
        </w:rPr>
        <w:pict w14:anchorId="365D3AE4">
          <v:shape id="_x0000_i1028" type="#_x0000_t75" style="width:481pt;height:170pt">
            <v:imagedata r:id="rId15" o:title="Skema til historiebrug"/>
          </v:shape>
        </w:pict>
      </w:r>
    </w:p>
    <w:p w14:paraId="3E0B58FA" w14:textId="77777777" w:rsidR="003B059B" w:rsidRPr="002362B2" w:rsidRDefault="003B059B" w:rsidP="003B059B">
      <w:pPr>
        <w:rPr>
          <w:rFonts w:ascii="Garamond" w:hAnsi="Garamond"/>
        </w:rPr>
      </w:pPr>
    </w:p>
    <w:p w14:paraId="546139E6" w14:textId="77777777" w:rsidR="00FB4696" w:rsidRPr="002362B2" w:rsidRDefault="00FB4696" w:rsidP="003B059B">
      <w:pPr>
        <w:rPr>
          <w:rFonts w:ascii="Garamond" w:hAnsi="Garamond"/>
        </w:rPr>
      </w:pPr>
    </w:p>
    <w:p w14:paraId="30F7068B" w14:textId="77777777" w:rsidR="00FB4696" w:rsidRPr="002362B2" w:rsidRDefault="00FB4696" w:rsidP="003B059B">
      <w:pPr>
        <w:rPr>
          <w:rFonts w:ascii="Garamond" w:hAnsi="Garamond"/>
        </w:rPr>
      </w:pPr>
    </w:p>
    <w:p w14:paraId="0FC2E21C" w14:textId="77777777" w:rsidR="00FB4696" w:rsidRPr="002362B2" w:rsidRDefault="00FB4696" w:rsidP="00FB4696">
      <w:pPr>
        <w:rPr>
          <w:rFonts w:ascii="Garamond" w:hAnsi="Garamond"/>
        </w:rPr>
      </w:pPr>
    </w:p>
    <w:sectPr w:rsidR="00FB4696" w:rsidRPr="002362B2">
      <w:footerReference w:type="default" r:id="rId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F98BD" w14:textId="77777777" w:rsidR="00D67FE1" w:rsidRDefault="00D67FE1" w:rsidP="00165110">
      <w:pPr>
        <w:spacing w:after="0" w:line="240" w:lineRule="auto"/>
      </w:pPr>
      <w:r>
        <w:separator/>
      </w:r>
    </w:p>
  </w:endnote>
  <w:endnote w:type="continuationSeparator" w:id="0">
    <w:p w14:paraId="54B348DA" w14:textId="77777777" w:rsidR="00D67FE1" w:rsidRDefault="00D67FE1" w:rsidP="00165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312110"/>
      <w:docPartObj>
        <w:docPartGallery w:val="Page Numbers (Bottom of Page)"/>
        <w:docPartUnique/>
      </w:docPartObj>
    </w:sdtPr>
    <w:sdtEndPr/>
    <w:sdtContent>
      <w:p w14:paraId="579724BC" w14:textId="77777777" w:rsidR="00165110" w:rsidRDefault="00165110">
        <w:pPr>
          <w:pStyle w:val="Sidefod"/>
          <w:jc w:val="right"/>
        </w:pPr>
        <w:r>
          <w:fldChar w:fldCharType="begin"/>
        </w:r>
        <w:r>
          <w:instrText>PAGE   \* MERGEFORMAT</w:instrText>
        </w:r>
        <w:r>
          <w:fldChar w:fldCharType="separate"/>
        </w:r>
        <w:r w:rsidR="00670B29">
          <w:rPr>
            <w:noProof/>
          </w:rPr>
          <w:t>8</w:t>
        </w:r>
        <w:r>
          <w:fldChar w:fldCharType="end"/>
        </w:r>
      </w:p>
    </w:sdtContent>
  </w:sdt>
  <w:p w14:paraId="5C6920F4" w14:textId="77777777" w:rsidR="00165110" w:rsidRDefault="0016511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2169E" w14:textId="77777777" w:rsidR="00D67FE1" w:rsidRDefault="00D67FE1" w:rsidP="00165110">
      <w:pPr>
        <w:spacing w:after="0" w:line="240" w:lineRule="auto"/>
      </w:pPr>
      <w:r>
        <w:separator/>
      </w:r>
    </w:p>
  </w:footnote>
  <w:footnote w:type="continuationSeparator" w:id="0">
    <w:p w14:paraId="5ECA8D67" w14:textId="77777777" w:rsidR="00D67FE1" w:rsidRDefault="00D67FE1" w:rsidP="001651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A52363"/>
    <w:multiLevelType w:val="multilevel"/>
    <w:tmpl w:val="8634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865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F11"/>
    <w:rsid w:val="000370E1"/>
    <w:rsid w:val="00062211"/>
    <w:rsid w:val="00165110"/>
    <w:rsid w:val="00214ECF"/>
    <w:rsid w:val="002362B2"/>
    <w:rsid w:val="002B46DB"/>
    <w:rsid w:val="0031181B"/>
    <w:rsid w:val="003B059B"/>
    <w:rsid w:val="00461CDD"/>
    <w:rsid w:val="00594DF9"/>
    <w:rsid w:val="005A2180"/>
    <w:rsid w:val="00670B29"/>
    <w:rsid w:val="008D1469"/>
    <w:rsid w:val="00AB0F11"/>
    <w:rsid w:val="00BE13DD"/>
    <w:rsid w:val="00C07659"/>
    <w:rsid w:val="00D14C17"/>
    <w:rsid w:val="00D67FE1"/>
    <w:rsid w:val="00D7491E"/>
    <w:rsid w:val="00DA1388"/>
    <w:rsid w:val="00EB7A50"/>
    <w:rsid w:val="00FB4696"/>
    <w:rsid w:val="00FD4F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89DD3E1"/>
  <w15:chartTrackingRefBased/>
  <w15:docId w15:val="{26E53254-699B-4271-97D9-0E5CD5DF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362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link w:val="Overskrift2Tegn"/>
    <w:uiPriority w:val="9"/>
    <w:qFormat/>
    <w:rsid w:val="00C07659"/>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next w:val="Normal"/>
    <w:link w:val="Overskrift3Tegn"/>
    <w:uiPriority w:val="9"/>
    <w:unhideWhenUsed/>
    <w:qFormat/>
    <w:rsid w:val="00214EC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C07659"/>
    <w:rPr>
      <w:rFonts w:ascii="Times New Roman" w:eastAsia="Times New Roman" w:hAnsi="Times New Roman" w:cs="Times New Roman"/>
      <w:b/>
      <w:bCs/>
      <w:sz w:val="36"/>
      <w:szCs w:val="36"/>
      <w:lang w:eastAsia="da-DK"/>
    </w:rPr>
  </w:style>
  <w:style w:type="character" w:customStyle="1" w:styleId="label">
    <w:name w:val="label"/>
    <w:basedOn w:val="Standardskrifttypeiafsnit"/>
    <w:rsid w:val="00C07659"/>
  </w:style>
  <w:style w:type="paragraph" w:styleId="NormalWeb">
    <w:name w:val="Normal (Web)"/>
    <w:basedOn w:val="Normal"/>
    <w:uiPriority w:val="99"/>
    <w:semiHidden/>
    <w:unhideWhenUsed/>
    <w:rsid w:val="00C0765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glossary-term">
    <w:name w:val="glossary-term"/>
    <w:basedOn w:val="Standardskrifttypeiafsnit"/>
    <w:rsid w:val="00C07659"/>
  </w:style>
  <w:style w:type="character" w:styleId="Fremhv">
    <w:name w:val="Emphasis"/>
    <w:basedOn w:val="Standardskrifttypeiafsnit"/>
    <w:uiPriority w:val="20"/>
    <w:qFormat/>
    <w:rsid w:val="00214ECF"/>
    <w:rPr>
      <w:i/>
      <w:iCs/>
    </w:rPr>
  </w:style>
  <w:style w:type="character" w:styleId="Strk">
    <w:name w:val="Strong"/>
    <w:basedOn w:val="Standardskrifttypeiafsnit"/>
    <w:uiPriority w:val="22"/>
    <w:qFormat/>
    <w:rsid w:val="00214ECF"/>
    <w:rPr>
      <w:b/>
      <w:bCs/>
    </w:rPr>
  </w:style>
  <w:style w:type="character" w:customStyle="1" w:styleId="Overskrift3Tegn">
    <w:name w:val="Overskrift 3 Tegn"/>
    <w:basedOn w:val="Standardskrifttypeiafsnit"/>
    <w:link w:val="Overskrift3"/>
    <w:uiPriority w:val="9"/>
    <w:rsid w:val="00214ECF"/>
    <w:rPr>
      <w:rFonts w:asciiTheme="majorHAnsi" w:eastAsiaTheme="majorEastAsia" w:hAnsiTheme="majorHAnsi" w:cstheme="majorBidi"/>
      <w:color w:val="1F4D78" w:themeColor="accent1" w:themeShade="7F"/>
      <w:sz w:val="24"/>
      <w:szCs w:val="24"/>
    </w:rPr>
  </w:style>
  <w:style w:type="character" w:customStyle="1" w:styleId="Overskrift1Tegn">
    <w:name w:val="Overskrift 1 Tegn"/>
    <w:basedOn w:val="Standardskrifttypeiafsnit"/>
    <w:link w:val="Overskrift1"/>
    <w:uiPriority w:val="9"/>
    <w:rsid w:val="002362B2"/>
    <w:rPr>
      <w:rFonts w:asciiTheme="majorHAnsi" w:eastAsiaTheme="majorEastAsia" w:hAnsiTheme="majorHAnsi" w:cstheme="majorBidi"/>
      <w:color w:val="2E74B5" w:themeColor="accent1" w:themeShade="BF"/>
      <w:sz w:val="32"/>
      <w:szCs w:val="32"/>
    </w:rPr>
  </w:style>
  <w:style w:type="paragraph" w:styleId="Sidehoved">
    <w:name w:val="header"/>
    <w:basedOn w:val="Normal"/>
    <w:link w:val="SidehovedTegn"/>
    <w:uiPriority w:val="99"/>
    <w:unhideWhenUsed/>
    <w:rsid w:val="0016511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65110"/>
  </w:style>
  <w:style w:type="paragraph" w:styleId="Sidefod">
    <w:name w:val="footer"/>
    <w:basedOn w:val="Normal"/>
    <w:link w:val="SidefodTegn"/>
    <w:uiPriority w:val="99"/>
    <w:unhideWhenUsed/>
    <w:rsid w:val="0016511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65110"/>
  </w:style>
  <w:style w:type="paragraph" w:styleId="Markeringsbobletekst">
    <w:name w:val="Balloon Text"/>
    <w:basedOn w:val="Normal"/>
    <w:link w:val="MarkeringsbobletekstTegn"/>
    <w:uiPriority w:val="99"/>
    <w:semiHidden/>
    <w:unhideWhenUsed/>
    <w:rsid w:val="0016511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1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553252">
      <w:bodyDiv w:val="1"/>
      <w:marLeft w:val="0"/>
      <w:marRight w:val="0"/>
      <w:marTop w:val="0"/>
      <w:marBottom w:val="0"/>
      <w:divBdr>
        <w:top w:val="none" w:sz="0" w:space="0" w:color="auto"/>
        <w:left w:val="none" w:sz="0" w:space="0" w:color="auto"/>
        <w:bottom w:val="none" w:sz="0" w:space="0" w:color="auto"/>
        <w:right w:val="none" w:sz="0" w:space="0" w:color="auto"/>
      </w:divBdr>
      <w:divsChild>
        <w:div w:id="47341159">
          <w:marLeft w:val="0"/>
          <w:marRight w:val="0"/>
          <w:marTop w:val="0"/>
          <w:marBottom w:val="240"/>
          <w:divBdr>
            <w:top w:val="none" w:sz="0" w:space="0" w:color="auto"/>
            <w:left w:val="none" w:sz="0" w:space="0" w:color="auto"/>
            <w:bottom w:val="none" w:sz="0" w:space="0" w:color="auto"/>
            <w:right w:val="none" w:sz="0" w:space="0" w:color="auto"/>
          </w:divBdr>
          <w:divsChild>
            <w:div w:id="602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0902">
      <w:bodyDiv w:val="1"/>
      <w:marLeft w:val="0"/>
      <w:marRight w:val="0"/>
      <w:marTop w:val="0"/>
      <w:marBottom w:val="0"/>
      <w:divBdr>
        <w:top w:val="none" w:sz="0" w:space="0" w:color="auto"/>
        <w:left w:val="none" w:sz="0" w:space="0" w:color="auto"/>
        <w:bottom w:val="none" w:sz="0" w:space="0" w:color="auto"/>
        <w:right w:val="none" w:sz="0" w:space="0" w:color="auto"/>
      </w:divBdr>
    </w:div>
    <w:div w:id="1586761150">
      <w:bodyDiv w:val="1"/>
      <w:marLeft w:val="0"/>
      <w:marRight w:val="0"/>
      <w:marTop w:val="0"/>
      <w:marBottom w:val="0"/>
      <w:divBdr>
        <w:top w:val="none" w:sz="0" w:space="0" w:color="auto"/>
        <w:left w:val="none" w:sz="0" w:space="0" w:color="auto"/>
        <w:bottom w:val="none" w:sz="0" w:space="0" w:color="auto"/>
        <w:right w:val="none" w:sz="0" w:space="0" w:color="auto"/>
      </w:divBdr>
      <w:divsChild>
        <w:div w:id="955481203">
          <w:marLeft w:val="0"/>
          <w:marRight w:val="0"/>
          <w:marTop w:val="0"/>
          <w:marBottom w:val="240"/>
          <w:divBdr>
            <w:top w:val="none" w:sz="0" w:space="0" w:color="auto"/>
            <w:left w:val="none" w:sz="0" w:space="0" w:color="auto"/>
            <w:bottom w:val="none" w:sz="0" w:space="0" w:color="auto"/>
            <w:right w:val="none" w:sz="0" w:space="0" w:color="auto"/>
          </w:divBdr>
          <w:divsChild>
            <w:div w:id="369766585">
              <w:marLeft w:val="0"/>
              <w:marRight w:val="0"/>
              <w:marTop w:val="0"/>
              <w:marBottom w:val="0"/>
              <w:divBdr>
                <w:top w:val="none" w:sz="0" w:space="0" w:color="auto"/>
                <w:left w:val="none" w:sz="0" w:space="0" w:color="auto"/>
                <w:bottom w:val="none" w:sz="0" w:space="0" w:color="auto"/>
                <w:right w:val="none" w:sz="0" w:space="0" w:color="auto"/>
              </w:divBdr>
              <w:divsChild>
                <w:div w:id="425342980">
                  <w:marLeft w:val="0"/>
                  <w:marRight w:val="0"/>
                  <w:marTop w:val="0"/>
                  <w:marBottom w:val="0"/>
                  <w:divBdr>
                    <w:top w:val="none" w:sz="0" w:space="0" w:color="auto"/>
                    <w:left w:val="none" w:sz="0" w:space="0" w:color="auto"/>
                    <w:bottom w:val="none" w:sz="0" w:space="0" w:color="auto"/>
                    <w:right w:val="none" w:sz="0" w:space="0" w:color="auto"/>
                  </w:divBdr>
                </w:div>
                <w:div w:id="593363548">
                  <w:marLeft w:val="0"/>
                  <w:marRight w:val="0"/>
                  <w:marTop w:val="96"/>
                  <w:marBottom w:val="96"/>
                  <w:divBdr>
                    <w:top w:val="none" w:sz="0" w:space="0" w:color="auto"/>
                    <w:left w:val="none" w:sz="0" w:space="0" w:color="auto"/>
                    <w:bottom w:val="none" w:sz="0" w:space="0" w:color="auto"/>
                    <w:right w:val="none" w:sz="0" w:space="0" w:color="auto"/>
                  </w:divBdr>
                  <w:divsChild>
                    <w:div w:id="20112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53710">
          <w:marLeft w:val="0"/>
          <w:marRight w:val="0"/>
          <w:marTop w:val="0"/>
          <w:marBottom w:val="0"/>
          <w:divBdr>
            <w:top w:val="none" w:sz="0" w:space="0" w:color="auto"/>
            <w:left w:val="none" w:sz="0" w:space="0" w:color="auto"/>
            <w:bottom w:val="none" w:sz="0" w:space="0" w:color="auto"/>
            <w:right w:val="none" w:sz="0" w:space="0" w:color="auto"/>
          </w:divBdr>
        </w:div>
      </w:divsChild>
    </w:div>
    <w:div w:id="187230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1445</Words>
  <Characters>8816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RGE</dc:creator>
  <cp:keywords/>
  <dc:description/>
  <cp:lastModifiedBy>Morten Saxild-Hansen</cp:lastModifiedBy>
  <cp:revision>2</cp:revision>
  <cp:lastPrinted>2022-05-20T06:52:00Z</cp:lastPrinted>
  <dcterms:created xsi:type="dcterms:W3CDTF">2026-04-28T08:25:00Z</dcterms:created>
  <dcterms:modified xsi:type="dcterms:W3CDTF">2026-04-28T08:25:00Z</dcterms:modified>
</cp:coreProperties>
</file>