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numPr>
          <w:ilvl w:val="0"/>
          <w:numId w:val="1"/>
        </w:numPr>
        <w:ind w:left="720" w:hanging="360"/>
        <w:rPr>
          <w:u w:val="none"/>
        </w:rPr>
      </w:pPr>
      <w:bookmarkStart w:colFirst="0" w:colLast="0" w:name="_2m688loiqbps" w:id="0"/>
      <w:bookmarkEnd w:id="0"/>
      <w:r w:rsidDel="00000000" w:rsidR="00000000" w:rsidRPr="00000000">
        <w:rPr>
          <w:rtl w:val="0"/>
        </w:rPr>
        <w:t xml:space="preserve">Introduktion til udgivelsen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“Haidar Ansari (f. 2001) debuterede med digtsamlingen “Institutionaliseret” i 2022, som tog både læsere og debatdanmark med storm. Værket beskrev bl.a. en ekstremt voldelig opvækst i Urbanplanet på Amager, og blev til mens han sad i Vestre Fængsel (5 år for drabsforsøg). Siden har han været en markant skikkelse i den offentlige debat.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“Normaliseret”, der udkommer på 3-året for udgivelsen af “Institutionaliseret” består af et enkelt langdigt på 88 sider, som er skrevet til Ansaris lillebror. Digtet består af forskellige nedslag i Ansaris liv; barndomskvarteret med uniformerede hundeluftere, SSP’ere, ungdomsklubber og en masse vold, op til perioden, hvor han bevæger sig ud af miljøet og op af den sociale og kulturelle rangstige. Ind på Gyldendals bonede gulve og hen på de prestigefyldte avisforsider. Alt imens hans ungdomsven fra døgninstitution bliver fundet død som kun 21-årig i en busk i Malmø. Kontrasten er til at tage og føle på.” (</w:t>
      </w:r>
      <w:hyperlink r:id="rId6">
        <w:r w:rsidDel="00000000" w:rsidR="00000000" w:rsidRPr="00000000">
          <w:rPr>
            <w:color w:val="1155cc"/>
            <w:u w:val="single"/>
            <w:rtl w:val="0"/>
          </w:rPr>
          <w:t xml:space="preserve">bogblogger.dk</w:t>
        </w:r>
      </w:hyperlink>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numPr>
          <w:ilvl w:val="0"/>
          <w:numId w:val="1"/>
        </w:numPr>
        <w:ind w:left="720" w:hanging="360"/>
        <w:rPr/>
      </w:pPr>
      <w:bookmarkStart w:colFirst="0" w:colLast="0" w:name="_tecd82wuch9a" w:id="1"/>
      <w:bookmarkEnd w:id="1"/>
      <w:r w:rsidDel="00000000" w:rsidR="00000000" w:rsidRPr="00000000">
        <w:rPr>
          <w:rtl w:val="0"/>
        </w:rPr>
        <w:t xml:space="preserve">Læs uddraget af langdigtet i grupper á 4</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pStyle w:val="Heading3"/>
        <w:numPr>
          <w:ilvl w:val="0"/>
          <w:numId w:val="1"/>
        </w:numPr>
        <w:ind w:left="720" w:hanging="360"/>
      </w:pPr>
      <w:bookmarkStart w:colFirst="0" w:colLast="0" w:name="_l7134fs3lppm" w:id="2"/>
      <w:bookmarkEnd w:id="2"/>
      <w:r w:rsidDel="00000000" w:rsidR="00000000" w:rsidRPr="00000000">
        <w:rPr>
          <w:rtl w:val="0"/>
        </w:rPr>
        <w:t xml:space="preserve">Analyser uddraget af langdigtet. Kom ind på:</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b w:val="1"/>
          <w:bCs w:val="1"/>
        </w:rPr>
      </w:pPr>
      <w:r w:rsidDel="00000000" w:rsidR="00000000" w:rsidRPr="00000000">
        <w:rPr>
          <w:b w:val="1"/>
          <w:bCs w:val="1"/>
          <w:rtl w:val="0"/>
        </w:rPr>
        <w:t xml:space="preserve">Komposition</w:t>
      </w:r>
    </w:p>
    <w:p w:rsidR="00000000" w:rsidDel="00000000" w:rsidP="00000000" w:rsidRDefault="00000000" w:rsidRPr="00000000" w14:paraId="0000000C">
      <w:pPr>
        <w:ind w:left="144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rPr>
          <w:b w:val="1"/>
          <w:bCs w:val="1"/>
          <w:u w:val="none"/>
        </w:rPr>
      </w:pPr>
      <w:r w:rsidDel="00000000" w:rsidR="00000000" w:rsidRPr="00000000">
        <w:rPr>
          <w:b w:val="1"/>
          <w:bCs w:val="1"/>
          <w:rtl w:val="0"/>
        </w:rPr>
        <w:t xml:space="preserve">Sproglige virkemidler</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2"/>
        </w:numPr>
        <w:ind w:left="720" w:hanging="360"/>
        <w:rPr>
          <w:b w:val="1"/>
          <w:bCs w:val="1"/>
        </w:rPr>
      </w:pPr>
      <w:r w:rsidDel="00000000" w:rsidR="00000000" w:rsidRPr="00000000">
        <w:rPr>
          <w:b w:val="1"/>
          <w:bCs w:val="1"/>
          <w:rtl w:val="0"/>
        </w:rPr>
        <w:t xml:space="preserve">Temaer og indhold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808285"/>
          <w:sz w:val="23"/>
          <w:szCs w:val="23"/>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4314825" cy="9077325"/>
            <wp:effectExtent b="0" l="0" r="0" t="0"/>
            <wp:docPr id="6"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4314825" cy="9077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4248150" cy="9601200"/>
            <wp:effectExtent b="0" l="0" r="0" t="0"/>
            <wp:docPr id="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4248150" cy="96012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4410075" cy="947737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10075" cy="947737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4791075" cy="982980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791075" cy="98298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3667125" cy="9648825"/>
            <wp:effectExtent b="0" l="0" r="0" t="0"/>
            <wp:docPr id="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667125" cy="96488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3886200" cy="9925050"/>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886200" cy="992505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3981450" cy="9553575"/>
            <wp:effectExtent b="0" l="0" r="0" t="0"/>
            <wp:docPr id="8"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981450" cy="95535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5429250" cy="9753600"/>
            <wp:effectExtent b="0" l="0" r="0" t="0"/>
            <wp:docPr id="5"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429250" cy="9753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before="60" w:line="375.6506086956522" w:lineRule="auto"/>
        <w:rPr>
          <w:color w:val="767676"/>
          <w:sz w:val="23"/>
          <w:szCs w:val="23"/>
        </w:rPr>
      </w:pPr>
      <w:r w:rsidDel="00000000" w:rsidR="00000000" w:rsidRPr="00000000">
        <w:rPr>
          <w:color w:val="767676"/>
          <w:sz w:val="23"/>
          <w:szCs w:val="23"/>
        </w:rPr>
        <w:drawing>
          <wp:inline distB="114300" distT="114300" distL="114300" distR="114300">
            <wp:extent cx="3486150" cy="6505575"/>
            <wp:effectExtent b="0" l="0" r="0" t="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486150" cy="65055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6" w:type="default"/>
      <w:headerReference r:id="rId17" w:type="first"/>
      <w:footerReference r:id="rId18" w:type="defaul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420" w:lineRule="auto"/>
      <w:rPr/>
    </w:pPr>
    <w:r w:rsidDel="00000000" w:rsidR="00000000" w:rsidRPr="00000000">
      <w:rPr>
        <w:i w:val="1"/>
        <w:iCs w:val="1"/>
        <w:color w:val="505050"/>
        <w:sz w:val="18"/>
        <w:szCs w:val="18"/>
        <w:rtl w:val="0"/>
      </w:rPr>
      <w:t xml:space="preserve">Haidar Ansari, Normaliseret, Gyldendal,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bogblogger.dk" TargetMode="External"/><Relationship Id="rId18" Type="http://schemas.openxmlformats.org/officeDocument/2006/relationships/footer" Target="footer1.xml"/><Relationship Id="rId7" Type="http://schemas.openxmlformats.org/officeDocument/2006/relationships/image" Target="media/image9.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