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9D566" w14:textId="07C5D68B" w:rsidR="00EC4713" w:rsidRDefault="00D56266" w:rsidP="00EC4713">
      <w:pPr>
        <w:pStyle w:val="Titel"/>
        <w:jc w:val="center"/>
        <w:rPr>
          <w:rFonts w:ascii="Bahnschrift SemiBold" w:hAnsi="Bahnschrift SemiBold"/>
        </w:rPr>
      </w:pPr>
      <w:r>
        <w:rPr>
          <w:rFonts w:ascii="Bahnschrift SemiBold" w:hAnsi="Bahnschrift SemiBold"/>
        </w:rPr>
        <w:t xml:space="preserve">Lektion </w:t>
      </w:r>
      <w:r w:rsidR="001147EF">
        <w:rPr>
          <w:rFonts w:ascii="Bahnschrift SemiBold" w:hAnsi="Bahnschrift SemiBold"/>
        </w:rPr>
        <w:t>8</w:t>
      </w:r>
      <w:r>
        <w:rPr>
          <w:rFonts w:ascii="Bahnschrift SemiBold" w:hAnsi="Bahnschrift SemiBold"/>
        </w:rPr>
        <w:t xml:space="preserve">: </w:t>
      </w:r>
      <w:r w:rsidR="00EC4713">
        <w:rPr>
          <w:rFonts w:ascii="Bahnschrift SemiBold" w:hAnsi="Bahnschrift SemiBold"/>
        </w:rPr>
        <w:t>Gerningsmænd</w:t>
      </w:r>
      <w:r w:rsidR="00B467A5">
        <w:rPr>
          <w:rFonts w:ascii="Bahnschrift SemiBold" w:hAnsi="Bahnschrift SemiBold"/>
        </w:rPr>
        <w:t xml:space="preserve">, bagmænd og </w:t>
      </w:r>
      <w:r w:rsidR="00F274F1">
        <w:rPr>
          <w:rFonts w:ascii="Bahnschrift SemiBold" w:hAnsi="Bahnschrift SemiBold"/>
        </w:rPr>
        <w:t xml:space="preserve">teorier om dem </w:t>
      </w:r>
    </w:p>
    <w:p w14:paraId="4A9C507E" w14:textId="77777777" w:rsidR="00EC4713" w:rsidRDefault="00EC4713" w:rsidP="00EC4713"/>
    <w:p w14:paraId="69C8D294" w14:textId="77777777" w:rsidR="00EC4713" w:rsidRPr="00EC4713" w:rsidRDefault="00EC4713" w:rsidP="00EC4713"/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7652"/>
      </w:tblGrid>
      <w:tr w:rsidR="00EC4713" w14:paraId="0773C55D" w14:textId="77777777" w:rsidTr="00672713">
        <w:trPr>
          <w:trHeight w:val="272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58436BAE" w14:textId="77777777" w:rsidR="00EC4713" w:rsidRPr="005B2E4C" w:rsidRDefault="00EC4713" w:rsidP="00672713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Gerningsmænd</w:t>
            </w: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</w:tcPr>
          <w:p w14:paraId="2D86CBFA" w14:textId="3B8C1E59" w:rsidR="00EC4713" w:rsidRDefault="00EC4713" w:rsidP="00672713">
            <w:pPr>
              <w:pStyle w:val="Listeafsnit"/>
              <w:numPr>
                <w:ilvl w:val="0"/>
                <w:numId w:val="1"/>
              </w:numPr>
            </w:pPr>
            <w:r w:rsidRPr="002B36D0">
              <w:t>Læs</w:t>
            </w:r>
            <w:r w:rsidR="00EC718C">
              <w:t xml:space="preserve"> ”Hvem var gerningsmændene?” – </w:t>
            </w:r>
            <w:r w:rsidR="00EC718C" w:rsidRPr="007D68A4">
              <w:rPr>
                <w:highlight w:val="yellow"/>
              </w:rPr>
              <w:t>kompendiet s</w:t>
            </w:r>
            <w:r w:rsidR="00C478B7">
              <w:rPr>
                <w:highlight w:val="yellow"/>
              </w:rPr>
              <w:t>ide</w:t>
            </w:r>
            <w:r w:rsidR="00EC718C" w:rsidRPr="007D68A4">
              <w:rPr>
                <w:highlight w:val="yellow"/>
              </w:rPr>
              <w:t xml:space="preserve"> 41-43</w:t>
            </w:r>
            <w:r w:rsidRPr="002B36D0">
              <w:t xml:space="preserve">: </w:t>
            </w:r>
          </w:p>
          <w:p w14:paraId="274C0087" w14:textId="2C826AAC" w:rsidR="00EC4713" w:rsidRPr="002B36D0" w:rsidRDefault="00EC4713" w:rsidP="00672713">
            <w:pPr>
              <w:pStyle w:val="Listeafsnit"/>
              <w:numPr>
                <w:ilvl w:val="0"/>
                <w:numId w:val="2"/>
              </w:numPr>
            </w:pPr>
            <w:r w:rsidRPr="002B36D0">
              <w:t>Hvad kendetegnede gerningsmændene?</w:t>
            </w:r>
            <w:r>
              <w:t xml:space="preserve"> Beskriv de tre grupper</w:t>
            </w:r>
            <w:r w:rsidR="007901DD">
              <w:t xml:space="preserve"> i oversigtsform</w:t>
            </w:r>
            <w:r>
              <w:t>.</w:t>
            </w:r>
          </w:p>
          <w:p w14:paraId="29BCF231" w14:textId="77777777" w:rsidR="00EC4713" w:rsidRDefault="00EC4713" w:rsidP="00672713"/>
          <w:p w14:paraId="50A40FA7" w14:textId="3595ED77" w:rsidR="00EC4713" w:rsidRPr="009A3DFA" w:rsidRDefault="00EC4713" w:rsidP="00672713">
            <w:pPr>
              <w:pStyle w:val="Listeafsnit"/>
              <w:numPr>
                <w:ilvl w:val="0"/>
                <w:numId w:val="1"/>
              </w:numPr>
            </w:pPr>
            <w:r w:rsidRPr="009A3DFA">
              <w:t>Læs</w:t>
            </w:r>
            <w:r w:rsidR="009A3DFA" w:rsidRPr="009A3DFA">
              <w:t xml:space="preserve"> </w:t>
            </w:r>
            <w:r w:rsidR="009A3DFA">
              <w:t xml:space="preserve">”Gerningsmænd – kan alle blive gerningsmænd?” – </w:t>
            </w:r>
            <w:r w:rsidR="009A3DFA" w:rsidRPr="00C478B7">
              <w:rPr>
                <w:highlight w:val="yellow"/>
              </w:rPr>
              <w:t>kompendiet side 105-107</w:t>
            </w:r>
            <w:r w:rsidRPr="009A3DFA">
              <w:t xml:space="preserve">: </w:t>
            </w:r>
          </w:p>
          <w:p w14:paraId="40F948F1" w14:textId="77777777" w:rsidR="00EC4713" w:rsidRPr="002B36D0" w:rsidRDefault="00EC4713" w:rsidP="00672713">
            <w:pPr>
              <w:pStyle w:val="Listeafsnit"/>
              <w:numPr>
                <w:ilvl w:val="0"/>
                <w:numId w:val="2"/>
              </w:numPr>
            </w:pPr>
            <w:r w:rsidRPr="002B36D0">
              <w:t xml:space="preserve">Hvem karakteriseres og kategoriseres hhv. som morderne/dem, der udfører drabene, og bagmændene? </w:t>
            </w:r>
          </w:p>
          <w:p w14:paraId="36702622" w14:textId="77777777" w:rsidR="00EC4713" w:rsidRPr="002B36D0" w:rsidRDefault="00EC4713" w:rsidP="00672713">
            <w:pPr>
              <w:pStyle w:val="Listeafsnit"/>
              <w:numPr>
                <w:ilvl w:val="0"/>
                <w:numId w:val="2"/>
              </w:numPr>
            </w:pPr>
            <w:r w:rsidRPr="002B36D0">
              <w:t xml:space="preserve">Hvad er drivkraften bag? </w:t>
            </w:r>
          </w:p>
        </w:tc>
      </w:tr>
      <w:tr w:rsidR="00EC4713" w14:paraId="11A7172D" w14:textId="77777777" w:rsidTr="00672713">
        <w:trPr>
          <w:trHeight w:val="722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1" w:themeFillShade="BF"/>
          </w:tcPr>
          <w:p w14:paraId="7F67408C" w14:textId="77777777" w:rsidR="00EC4713" w:rsidRDefault="00EC4713" w:rsidP="00672713">
            <w:pPr>
              <w:jc w:val="center"/>
            </w:pPr>
            <w:r w:rsidRPr="009072D3">
              <w:rPr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noProof/>
                <w:lang w:eastAsia="da-DK"/>
              </w:rPr>
              <w:drawing>
                <wp:inline distT="0" distB="0" distL="0" distR="0" wp14:anchorId="5B217A69" wp14:editId="2E620129">
                  <wp:extent cx="914400" cy="914400"/>
                  <wp:effectExtent l="0" t="0" r="0" b="0"/>
                  <wp:docPr id="2" name="Grafik 2" descr="Gruppebrainstorm med massiv udfyld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8" descr="Gruppebrainstorm med massiv udfyldni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1A80">
              <w:rPr>
                <w:color w:val="FFFFFF" w:themeColor="background1"/>
                <w:sz w:val="28"/>
                <w:szCs w:val="28"/>
              </w:rPr>
              <w:t>Gruppepres og lydighed</w:t>
            </w: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</w:tcPr>
          <w:p w14:paraId="37242ACE" w14:textId="30444760" w:rsidR="00EC4713" w:rsidRPr="002B36D0" w:rsidRDefault="00EC4713" w:rsidP="00672713">
            <w:pPr>
              <w:pStyle w:val="Listeafsnit"/>
              <w:numPr>
                <w:ilvl w:val="0"/>
                <w:numId w:val="1"/>
              </w:numPr>
              <w:shd w:val="clear" w:color="auto" w:fill="FFFFFF"/>
              <w:spacing w:before="100" w:beforeAutospacing="1" w:after="180"/>
              <w:rPr>
                <w:rFonts w:eastAsia="Times New Roman"/>
                <w:color w:val="000000"/>
                <w:lang w:eastAsia="da-DK"/>
              </w:rPr>
            </w:pPr>
            <w:r w:rsidRPr="002B36D0">
              <w:rPr>
                <w:rFonts w:eastAsia="Times New Roman"/>
                <w:color w:val="000000"/>
                <w:lang w:eastAsia="da-DK"/>
              </w:rPr>
              <w:t>Læs</w:t>
            </w:r>
            <w:r w:rsidR="009A3DFA">
              <w:rPr>
                <w:rFonts w:eastAsia="Times New Roman"/>
                <w:color w:val="000000"/>
                <w:lang w:eastAsia="da-DK"/>
              </w:rPr>
              <w:t xml:space="preserve"> ”Gruppepres, lydighed og ideologi – hvordan almindelige mænd bliver gerningsmænd” – </w:t>
            </w:r>
            <w:r w:rsidR="009A3DFA" w:rsidRPr="007D68A4">
              <w:rPr>
                <w:rFonts w:eastAsia="Times New Roman"/>
                <w:color w:val="000000"/>
                <w:highlight w:val="yellow"/>
                <w:lang w:eastAsia="da-DK"/>
              </w:rPr>
              <w:t>kompendiet side 96-104</w:t>
            </w:r>
            <w:r w:rsidRPr="002B36D0">
              <w:rPr>
                <w:rFonts w:eastAsia="Times New Roman"/>
                <w:color w:val="000000"/>
                <w:lang w:eastAsia="da-DK"/>
              </w:rPr>
              <w:t>:</w:t>
            </w:r>
            <w:r w:rsidR="009A3DFA" w:rsidRPr="002B36D0">
              <w:rPr>
                <w:rFonts w:eastAsia="Times New Roman"/>
                <w:color w:val="000000"/>
                <w:lang w:eastAsia="da-DK"/>
              </w:rPr>
              <w:t xml:space="preserve"> </w:t>
            </w:r>
          </w:p>
          <w:p w14:paraId="018AE2B4" w14:textId="77777777" w:rsidR="00EC4713" w:rsidRPr="002B36D0" w:rsidRDefault="00EC4713" w:rsidP="00672713">
            <w:pPr>
              <w:pStyle w:val="Listeafsnit"/>
              <w:numPr>
                <w:ilvl w:val="0"/>
                <w:numId w:val="2"/>
              </w:numPr>
              <w:shd w:val="clear" w:color="auto" w:fill="FFFFFF"/>
              <w:spacing w:before="100" w:beforeAutospacing="1" w:after="180"/>
              <w:rPr>
                <w:rFonts w:eastAsia="Times New Roman"/>
                <w:color w:val="000000"/>
                <w:lang w:eastAsia="da-DK"/>
              </w:rPr>
            </w:pPr>
            <w:r w:rsidRPr="002B36D0">
              <w:rPr>
                <w:color w:val="000000"/>
                <w:shd w:val="clear" w:color="auto" w:fill="FFFFFF"/>
              </w:rPr>
              <w:t xml:space="preserve">Gennemgå Solomon </w:t>
            </w:r>
            <w:proofErr w:type="spellStart"/>
            <w:r w:rsidRPr="002B36D0">
              <w:rPr>
                <w:color w:val="000000"/>
                <w:shd w:val="clear" w:color="auto" w:fill="FFFFFF"/>
              </w:rPr>
              <w:t>Aschs</w:t>
            </w:r>
            <w:proofErr w:type="spellEnd"/>
            <w:r w:rsidRPr="002B36D0">
              <w:rPr>
                <w:color w:val="000000"/>
                <w:shd w:val="clear" w:color="auto" w:fill="FFFFFF"/>
              </w:rPr>
              <w:t xml:space="preserve"> forsøg og resultater</w:t>
            </w:r>
          </w:p>
          <w:p w14:paraId="4827B9E7" w14:textId="77777777" w:rsidR="00EC4713" w:rsidRPr="002B36D0" w:rsidRDefault="00EC4713" w:rsidP="00672713">
            <w:pPr>
              <w:pStyle w:val="Listeafsnit"/>
              <w:numPr>
                <w:ilvl w:val="0"/>
                <w:numId w:val="2"/>
              </w:numPr>
              <w:shd w:val="clear" w:color="auto" w:fill="FFFFFF"/>
              <w:rPr>
                <w:rFonts w:eastAsia="Times New Roman"/>
                <w:color w:val="000000"/>
                <w:lang w:eastAsia="da-DK"/>
              </w:rPr>
            </w:pPr>
            <w:r w:rsidRPr="002B36D0">
              <w:rPr>
                <w:color w:val="000000"/>
                <w:shd w:val="clear" w:color="auto" w:fill="FFFFFF"/>
              </w:rPr>
              <w:t xml:space="preserve">Diskutér, hvad årsagerne kan være til, at mange mennesker vælger at pege på den samme linje som de andre i gruppen i Solomon </w:t>
            </w:r>
            <w:proofErr w:type="spellStart"/>
            <w:r w:rsidRPr="002B36D0">
              <w:rPr>
                <w:color w:val="000000"/>
                <w:shd w:val="clear" w:color="auto" w:fill="FFFFFF"/>
              </w:rPr>
              <w:t>Asch</w:t>
            </w:r>
            <w:proofErr w:type="spellEnd"/>
            <w:r w:rsidRPr="002B36D0">
              <w:rPr>
                <w:color w:val="000000"/>
                <w:shd w:val="clear" w:color="auto" w:fill="FFFFFF"/>
              </w:rPr>
              <w:t>’ forsøg, når det tydeligvis er en anden linje, der er det rigtige valg.</w:t>
            </w:r>
          </w:p>
          <w:p w14:paraId="3713BAB2" w14:textId="77777777" w:rsidR="00EC4713" w:rsidRPr="002B36D0" w:rsidRDefault="00EC4713" w:rsidP="00672713">
            <w:pPr>
              <w:pStyle w:val="Listeafsnit"/>
              <w:numPr>
                <w:ilvl w:val="0"/>
                <w:numId w:val="2"/>
              </w:numPr>
              <w:shd w:val="clear" w:color="auto" w:fill="FFFFFF"/>
              <w:rPr>
                <w:rFonts w:eastAsia="Times New Roman"/>
                <w:color w:val="000000"/>
                <w:lang w:eastAsia="da-DK"/>
              </w:rPr>
            </w:pPr>
            <w:r w:rsidRPr="002B36D0">
              <w:rPr>
                <w:color w:val="000000"/>
                <w:shd w:val="clear" w:color="auto" w:fill="FFFFFF"/>
              </w:rPr>
              <w:t xml:space="preserve">Gennemgå Stanley </w:t>
            </w:r>
            <w:proofErr w:type="spellStart"/>
            <w:r w:rsidRPr="002B36D0">
              <w:rPr>
                <w:color w:val="000000"/>
                <w:shd w:val="clear" w:color="auto" w:fill="FFFFFF"/>
              </w:rPr>
              <w:t>Milgrams</w:t>
            </w:r>
            <w:proofErr w:type="spellEnd"/>
            <w:r w:rsidRPr="002B36D0">
              <w:rPr>
                <w:color w:val="000000"/>
                <w:shd w:val="clear" w:color="auto" w:fill="FFFFFF"/>
              </w:rPr>
              <w:t xml:space="preserve"> forsøg og resultater</w:t>
            </w:r>
          </w:p>
          <w:p w14:paraId="0AEE1390" w14:textId="77777777" w:rsidR="00EC4713" w:rsidRPr="002B36D0" w:rsidRDefault="00EC4713" w:rsidP="00672713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2B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 xml:space="preserve">Hvad er forskelle og ligheder på Solomon </w:t>
            </w:r>
            <w:proofErr w:type="spellStart"/>
            <w:r w:rsidRPr="002B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Asch</w:t>
            </w:r>
            <w:proofErr w:type="spellEnd"/>
            <w:r w:rsidRPr="002B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 xml:space="preserve"> og Stanley </w:t>
            </w:r>
            <w:proofErr w:type="spellStart"/>
            <w:r w:rsidRPr="002B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Milgrams</w:t>
            </w:r>
            <w:proofErr w:type="spellEnd"/>
            <w:r w:rsidRPr="002B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 xml:space="preserve"> eksperimenter? Hvad siger resultaterne os? Hvilke problemer kan der være ved at overføre resultaterne fra eksperimenterne på ”den virkelige verden” – som eksempelvis omstændighederne under et folkedrab?</w:t>
            </w:r>
          </w:p>
          <w:p w14:paraId="6A712712" w14:textId="77777777" w:rsidR="00EC4713" w:rsidRPr="002B36D0" w:rsidRDefault="00EC4713" w:rsidP="00672713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2B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 xml:space="preserve">Gennemgå </w:t>
            </w:r>
            <w:proofErr w:type="spellStart"/>
            <w:r w:rsidRPr="002B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Zimbardos</w:t>
            </w:r>
            <w:proofErr w:type="spellEnd"/>
            <w:r w:rsidRPr="002B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 xml:space="preserve"> forsøg og resultater</w:t>
            </w:r>
          </w:p>
          <w:p w14:paraId="11F4BA61" w14:textId="77777777" w:rsidR="00EC4713" w:rsidRDefault="00EC4713" w:rsidP="00672713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2B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Diskutér, om de socialpsykologiske eksperimenter og konklusioner på sin vis undskylder de handlinger, som gerningsmænd udfører under et folkedrab</w:t>
            </w:r>
          </w:p>
          <w:p w14:paraId="749ED0BC" w14:textId="77777777" w:rsidR="00EC4713" w:rsidRDefault="00EC4713" w:rsidP="00672713">
            <w:pPr>
              <w:shd w:val="clear" w:color="auto" w:fill="FFFFFF"/>
              <w:ind w:left="10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  <w:p w14:paraId="0BBAB0AA" w14:textId="097517F9" w:rsidR="00EC4713" w:rsidRDefault="00EC4713" w:rsidP="00672713">
            <w:pPr>
              <w:pStyle w:val="Listeafsnit"/>
              <w:numPr>
                <w:ilvl w:val="0"/>
                <w:numId w:val="1"/>
              </w:numPr>
              <w:shd w:val="clear" w:color="auto" w:fill="FFFFFF"/>
              <w:rPr>
                <w:rFonts w:eastAsia="Times New Roman"/>
                <w:color w:val="000000"/>
                <w:lang w:eastAsia="da-DK"/>
              </w:rPr>
            </w:pPr>
            <w:r>
              <w:rPr>
                <w:rFonts w:eastAsia="Times New Roman"/>
                <w:color w:val="000000"/>
                <w:lang w:eastAsia="da-DK"/>
              </w:rPr>
              <w:t>Læs</w:t>
            </w:r>
            <w:r w:rsidR="00EC718C">
              <w:rPr>
                <w:rFonts w:eastAsia="Times New Roman"/>
                <w:color w:val="000000"/>
                <w:lang w:eastAsia="da-DK"/>
              </w:rPr>
              <w:t xml:space="preserve"> ”Hvem var bagmændene?” – </w:t>
            </w:r>
            <w:r w:rsidR="00EC718C" w:rsidRPr="007D68A4">
              <w:rPr>
                <w:rFonts w:eastAsia="Times New Roman"/>
                <w:color w:val="000000"/>
                <w:highlight w:val="yellow"/>
                <w:lang w:eastAsia="da-DK"/>
              </w:rPr>
              <w:t>kompendiet side 44-48</w:t>
            </w:r>
            <w:r w:rsidR="00C478B7">
              <w:rPr>
                <w:rFonts w:eastAsia="Times New Roman"/>
                <w:color w:val="000000"/>
                <w:lang w:eastAsia="da-DK"/>
              </w:rPr>
              <w:t>:</w:t>
            </w:r>
          </w:p>
          <w:p w14:paraId="141820AF" w14:textId="6FB28202" w:rsidR="00EC4713" w:rsidRDefault="00EC4713" w:rsidP="00672713">
            <w:pPr>
              <w:pStyle w:val="Listeafsnit"/>
              <w:numPr>
                <w:ilvl w:val="0"/>
                <w:numId w:val="2"/>
              </w:numPr>
              <w:shd w:val="clear" w:color="auto" w:fill="FFFFFF"/>
              <w:rPr>
                <w:rFonts w:eastAsia="Times New Roman"/>
                <w:color w:val="000000"/>
                <w:lang w:eastAsia="da-DK"/>
              </w:rPr>
            </w:pPr>
            <w:r>
              <w:rPr>
                <w:rFonts w:eastAsia="Times New Roman"/>
                <w:color w:val="000000"/>
                <w:lang w:eastAsia="da-DK"/>
              </w:rPr>
              <w:t>Hvem var bagmændene i folkedrabet i Rwanda?</w:t>
            </w:r>
            <w:r w:rsidR="007901DD">
              <w:rPr>
                <w:rFonts w:eastAsia="Times New Roman"/>
                <w:color w:val="000000"/>
                <w:lang w:eastAsia="da-DK"/>
              </w:rPr>
              <w:t xml:space="preserve"> Skriv dem på jeres oversigtsark</w:t>
            </w:r>
            <w:r w:rsidR="00C478B7">
              <w:rPr>
                <w:rFonts w:eastAsia="Times New Roman"/>
                <w:color w:val="000000"/>
                <w:lang w:eastAsia="da-DK"/>
              </w:rPr>
              <w:t xml:space="preserve"> (opgave 1)</w:t>
            </w:r>
            <w:r w:rsidR="007901DD">
              <w:rPr>
                <w:rFonts w:eastAsia="Times New Roman"/>
                <w:color w:val="000000"/>
                <w:lang w:eastAsia="da-DK"/>
              </w:rPr>
              <w:t>.</w:t>
            </w:r>
          </w:p>
          <w:p w14:paraId="7CAA9284" w14:textId="77777777" w:rsidR="00EC4713" w:rsidRPr="002B36D0" w:rsidRDefault="00EC4713" w:rsidP="00672713">
            <w:pPr>
              <w:pStyle w:val="Listeafsnit"/>
              <w:shd w:val="clear" w:color="auto" w:fill="FFFFFF"/>
              <w:ind w:left="1080" w:firstLine="0"/>
              <w:rPr>
                <w:rFonts w:eastAsia="Times New Roman"/>
                <w:color w:val="000000"/>
                <w:lang w:eastAsia="da-DK"/>
              </w:rPr>
            </w:pPr>
          </w:p>
          <w:p w14:paraId="36C3D3F4" w14:textId="77777777" w:rsidR="00EC4713" w:rsidRPr="002B36D0" w:rsidRDefault="00EC4713" w:rsidP="00672713">
            <w:pPr>
              <w:shd w:val="clear" w:color="auto" w:fill="FFFFFF"/>
              <w:spacing w:before="100" w:beforeAutospacing="1" w:after="180"/>
              <w:ind w:left="360"/>
              <w:rPr>
                <w:rFonts w:eastAsia="Times New Roman"/>
                <w:color w:val="000000"/>
                <w:sz w:val="24"/>
                <w:szCs w:val="24"/>
                <w:lang w:eastAsia="da-DK"/>
              </w:rPr>
            </w:pPr>
          </w:p>
        </w:tc>
      </w:tr>
    </w:tbl>
    <w:p w14:paraId="5230E387" w14:textId="77777777" w:rsidR="00EC4713" w:rsidRDefault="00EC4713" w:rsidP="00EC4713"/>
    <w:p w14:paraId="38958524" w14:textId="77777777" w:rsidR="00643B92" w:rsidRDefault="00643B92"/>
    <w:sectPr w:rsidR="00643B92" w:rsidSect="003116C9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6E6C9" w14:textId="77777777" w:rsidR="005F7435" w:rsidRDefault="005F7435">
      <w:pPr>
        <w:spacing w:after="0" w:line="240" w:lineRule="auto"/>
      </w:pPr>
      <w:r>
        <w:separator/>
      </w:r>
    </w:p>
  </w:endnote>
  <w:endnote w:type="continuationSeparator" w:id="0">
    <w:p w14:paraId="3774949F" w14:textId="77777777" w:rsidR="005F7435" w:rsidRDefault="005F7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B4A4F" w14:textId="77777777" w:rsidR="005F7435" w:rsidRDefault="005F7435">
      <w:pPr>
        <w:spacing w:after="0" w:line="240" w:lineRule="auto"/>
      </w:pPr>
      <w:r>
        <w:separator/>
      </w:r>
    </w:p>
  </w:footnote>
  <w:footnote w:type="continuationSeparator" w:id="0">
    <w:p w14:paraId="76C7B667" w14:textId="77777777" w:rsidR="005F7435" w:rsidRDefault="005F7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7DD4"/>
    <w:multiLevelType w:val="hybridMultilevel"/>
    <w:tmpl w:val="B9BC1A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86F6D"/>
    <w:multiLevelType w:val="hybridMultilevel"/>
    <w:tmpl w:val="424E197E"/>
    <w:lvl w:ilvl="0" w:tplc="292250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8963180">
    <w:abstractNumId w:val="0"/>
  </w:num>
  <w:num w:numId="2" w16cid:durableId="1409840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713"/>
    <w:rsid w:val="000F7A50"/>
    <w:rsid w:val="001147EF"/>
    <w:rsid w:val="001E2358"/>
    <w:rsid w:val="002643BC"/>
    <w:rsid w:val="004B5527"/>
    <w:rsid w:val="005378EB"/>
    <w:rsid w:val="00571D05"/>
    <w:rsid w:val="005D461E"/>
    <w:rsid w:val="005F7435"/>
    <w:rsid w:val="00643B92"/>
    <w:rsid w:val="007760DD"/>
    <w:rsid w:val="007901DD"/>
    <w:rsid w:val="007D68A4"/>
    <w:rsid w:val="0088110E"/>
    <w:rsid w:val="009A3DFA"/>
    <w:rsid w:val="00B467A5"/>
    <w:rsid w:val="00C478B7"/>
    <w:rsid w:val="00D56266"/>
    <w:rsid w:val="00E10293"/>
    <w:rsid w:val="00EC4713"/>
    <w:rsid w:val="00EC718C"/>
    <w:rsid w:val="00F2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6D48D"/>
  <w15:chartTrackingRefBased/>
  <w15:docId w15:val="{CC1D3EA2-A7AB-4979-933F-8CD3AE4B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71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C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5"/>
    <w:qFormat/>
    <w:rsid w:val="00EC47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5"/>
    <w:rsid w:val="00EC4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EC47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C4713"/>
  </w:style>
  <w:style w:type="character" w:styleId="Hyperlink">
    <w:name w:val="Hyperlink"/>
    <w:basedOn w:val="Standardskrifttypeiafsnit"/>
    <w:uiPriority w:val="99"/>
    <w:unhideWhenUsed/>
    <w:rsid w:val="00EC4713"/>
    <w:rPr>
      <w:color w:val="1F4E79" w:themeColor="accent1" w:themeShade="80"/>
      <w:u w:val="single"/>
    </w:rPr>
  </w:style>
  <w:style w:type="paragraph" w:styleId="Listeafsnit">
    <w:name w:val="List Paragraph"/>
    <w:basedOn w:val="Normal"/>
    <w:uiPriority w:val="34"/>
    <w:qFormat/>
    <w:rsid w:val="00EC4713"/>
    <w:pPr>
      <w:spacing w:after="0" w:line="240" w:lineRule="auto"/>
      <w:ind w:left="720" w:firstLine="360"/>
      <w:contextualSpacing/>
    </w:pPr>
    <w:rPr>
      <w:rFonts w:ascii="Times New Roman" w:hAnsi="Times New Roman" w:cs="Times New Roman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571D05"/>
    <w:rPr>
      <w:color w:val="954F72" w:themeColor="followedHyperlink"/>
      <w:u w:val="single"/>
    </w:rPr>
  </w:style>
  <w:style w:type="paragraph" w:styleId="Sidefod">
    <w:name w:val="footer"/>
    <w:basedOn w:val="Normal"/>
    <w:link w:val="SidefodTegn"/>
    <w:uiPriority w:val="99"/>
    <w:unhideWhenUsed/>
    <w:rsid w:val="00D562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56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DAC9DC7150A42948A838C65AA01D5" ma:contentTypeVersion="11" ma:contentTypeDescription="Opret et nyt dokument." ma:contentTypeScope="" ma:versionID="c5537e80195db692fdbd19e2b0a30b4d">
  <xsd:schema xmlns:xsd="http://www.w3.org/2001/XMLSchema" xmlns:xs="http://www.w3.org/2001/XMLSchema" xmlns:p="http://schemas.microsoft.com/office/2006/metadata/properties" xmlns:ns3="cb0f489b-ab1c-45cf-92b4-2fcdcc1e09d1" xmlns:ns4="245f66c8-31cf-4ce1-963d-371e6cccdeaa" targetNamespace="http://schemas.microsoft.com/office/2006/metadata/properties" ma:root="true" ma:fieldsID="1fdeda942ea9846152b372812ea0a96f" ns3:_="" ns4:_="">
    <xsd:import namespace="cb0f489b-ab1c-45cf-92b4-2fcdcc1e09d1"/>
    <xsd:import namespace="245f66c8-31cf-4ce1-963d-371e6cccde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f489b-ab1c-45cf-92b4-2fcdcc1e0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f66c8-31cf-4ce1-963d-371e6cccd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0f489b-ab1c-45cf-92b4-2fcdcc1e09d1" xsi:nil="true"/>
  </documentManagement>
</p:properties>
</file>

<file path=customXml/itemProps1.xml><?xml version="1.0" encoding="utf-8"?>
<ds:datastoreItem xmlns:ds="http://schemas.openxmlformats.org/officeDocument/2006/customXml" ds:itemID="{4FB050C2-3A5B-42AE-86FD-FF5D094DA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f489b-ab1c-45cf-92b4-2fcdcc1e09d1"/>
    <ds:schemaRef ds:uri="245f66c8-31cf-4ce1-963d-371e6cccde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5C07AA-F964-400D-B92F-D0D0F33700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EFD66C-2EE3-4F02-B8F5-9BE9C3A42B40}">
  <ds:schemaRefs>
    <ds:schemaRef ds:uri="http://schemas.microsoft.com/office/2006/metadata/properties"/>
    <ds:schemaRef ds:uri="http://schemas.microsoft.com/office/infopath/2007/PartnerControls"/>
    <ds:schemaRef ds:uri="cb0f489b-ab1c-45cf-92b4-2fcdcc1e09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Trine Lund</cp:lastModifiedBy>
  <cp:revision>3</cp:revision>
  <cp:lastPrinted>2023-01-04T07:43:00Z</cp:lastPrinted>
  <dcterms:created xsi:type="dcterms:W3CDTF">2024-01-09T08:08:00Z</dcterms:created>
  <dcterms:modified xsi:type="dcterms:W3CDTF">2024-01-09T08:13:00Z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0x010100143DAC9DC7150A42948A838C65AA01D5</vt:lpwstr>
  </property>
</Properties>
</file>