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91151" w14:textId="0469860D" w:rsidR="00B92C57" w:rsidRDefault="00EE7D4F" w:rsidP="00EE7D4F">
      <w:pPr>
        <w:pStyle w:val="Titel"/>
        <w:rPr>
          <w:noProof/>
          <w:sz w:val="48"/>
        </w:rPr>
      </w:pPr>
      <w:r w:rsidRPr="00EE7D4F">
        <w:rPr>
          <w:noProof/>
          <w:sz w:val="48"/>
        </w:rPr>
        <w:t>Opgaver: Den centrale økonomiske sammenhæng</w:t>
      </w:r>
    </w:p>
    <w:p w14:paraId="5F485459" w14:textId="74D8B9F0" w:rsidR="00EE7D4F" w:rsidRDefault="00EE7D4F" w:rsidP="00EE7D4F"/>
    <w:p w14:paraId="4E7ABE8E" w14:textId="680B90C2" w:rsidR="00EE7D4F" w:rsidRPr="00EE7D4F" w:rsidRDefault="00EE7D4F" w:rsidP="00EE7D4F">
      <w:pPr>
        <w:rPr>
          <w:b/>
        </w:rPr>
      </w:pPr>
      <w:r w:rsidRPr="00EE7D4F">
        <w:rPr>
          <w:b/>
        </w:rPr>
        <w:t>Opgave 1:</w:t>
      </w:r>
    </w:p>
    <w:p w14:paraId="396223B3" w14:textId="60D05248" w:rsidR="00EE7D4F" w:rsidRDefault="00EE7D4F" w:rsidP="00EE7D4F">
      <w:r>
        <w:t>Tag en af de rullende tavler og tegn de centrale økonomiske sammenhænge med sort tus på tavlen.</w:t>
      </w:r>
    </w:p>
    <w:p w14:paraId="32F171E5" w14:textId="47D47120" w:rsidR="00EE7D4F" w:rsidRDefault="00EE7D4F" w:rsidP="00EE7D4F">
      <w:r>
        <w:rPr>
          <w:noProof/>
        </w:rPr>
        <w:drawing>
          <wp:inline distT="0" distB="0" distL="0" distR="0" wp14:anchorId="0627AF68" wp14:editId="004A921F">
            <wp:extent cx="6118860" cy="702201"/>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4403" t="45635" r="10117" b="41005"/>
                    <a:stretch/>
                  </pic:blipFill>
                  <pic:spPr bwMode="auto">
                    <a:xfrm>
                      <a:off x="0" y="0"/>
                      <a:ext cx="6374776" cy="731570"/>
                    </a:xfrm>
                    <a:prstGeom prst="rect">
                      <a:avLst/>
                    </a:prstGeom>
                    <a:ln>
                      <a:noFill/>
                    </a:ln>
                    <a:extLst>
                      <a:ext uri="{53640926-AAD7-44D8-BBD7-CCE9431645EC}">
                        <a14:shadowObscured xmlns:a14="http://schemas.microsoft.com/office/drawing/2010/main"/>
                      </a:ext>
                    </a:extLst>
                  </pic:spPr>
                </pic:pic>
              </a:graphicData>
            </a:graphic>
          </wp:inline>
        </w:drawing>
      </w:r>
    </w:p>
    <w:p w14:paraId="3C04A581" w14:textId="247C749D" w:rsidR="00EE7D4F" w:rsidRDefault="00EE7D4F" w:rsidP="00EE7D4F">
      <w:pPr>
        <w:rPr>
          <w:b/>
        </w:rPr>
      </w:pPr>
      <w:r>
        <w:rPr>
          <w:b/>
        </w:rPr>
        <w:t>Opgave 2:</w:t>
      </w:r>
    </w:p>
    <w:p w14:paraId="55927D9B" w14:textId="534DF493" w:rsidR="00EE7D4F" w:rsidRDefault="00EE7D4F" w:rsidP="00EE7D4F">
      <w:r>
        <w:t xml:space="preserve">Tegn ind med </w:t>
      </w:r>
      <w:r w:rsidRPr="00EE7D4F">
        <w:rPr>
          <w:color w:val="FF0000"/>
        </w:rPr>
        <w:t xml:space="preserve">røde pile </w:t>
      </w:r>
      <w:r>
        <w:t>(op/Ned), hvad der sker med hver kasse i de centrale økonomiske sammenhænge (rente, forbrug, produktion osv.), når renten stiger.</w:t>
      </w:r>
    </w:p>
    <w:p w14:paraId="70AC8371" w14:textId="4EB76BE2" w:rsidR="00EE7D4F" w:rsidRDefault="00EE7D4F" w:rsidP="00EE7D4F">
      <w:r>
        <w:t xml:space="preserve">Når I har tegne gennemgår en person fra gruppen hele denne </w:t>
      </w:r>
      <w:r w:rsidRPr="00EE7D4F">
        <w:rPr>
          <w:color w:val="FF0000"/>
        </w:rPr>
        <w:t>negative</w:t>
      </w:r>
      <w:r>
        <w:t xml:space="preserve"> sammenhæng.</w:t>
      </w:r>
    </w:p>
    <w:p w14:paraId="5CD2F88E" w14:textId="23D46670" w:rsidR="00EE7D4F" w:rsidRDefault="00EE7D4F" w:rsidP="00EE7D4F">
      <w:pPr>
        <w:rPr>
          <w:b/>
        </w:rPr>
      </w:pPr>
      <w:r>
        <w:rPr>
          <w:b/>
        </w:rPr>
        <w:t xml:space="preserve">Opgave </w:t>
      </w:r>
      <w:r>
        <w:rPr>
          <w:b/>
        </w:rPr>
        <w:t>3</w:t>
      </w:r>
      <w:r>
        <w:rPr>
          <w:b/>
        </w:rPr>
        <w:t>:</w:t>
      </w:r>
    </w:p>
    <w:p w14:paraId="24964C89" w14:textId="26EBB79B" w:rsidR="00EE7D4F" w:rsidRDefault="00EE7D4F" w:rsidP="00EE7D4F">
      <w:r>
        <w:t xml:space="preserve">Tegn ind med </w:t>
      </w:r>
      <w:r w:rsidRPr="00EE7D4F">
        <w:rPr>
          <w:color w:val="0070C0"/>
        </w:rPr>
        <w:t>blå</w:t>
      </w:r>
      <w:r w:rsidRPr="00EE7D4F">
        <w:rPr>
          <w:color w:val="0070C0"/>
        </w:rPr>
        <w:t xml:space="preserve"> pile</w:t>
      </w:r>
      <w:r>
        <w:t xml:space="preserve"> (op/Ned), hvad der sker med hver kasse i de centrale økonomiske sammenhænge (rente, forbrug, produktion osv.), når </w:t>
      </w:r>
      <w:r>
        <w:t>folk har positive forventninger til fremtiden.</w:t>
      </w:r>
    </w:p>
    <w:p w14:paraId="3502DB4B" w14:textId="1859C4E1" w:rsidR="00EE7D4F" w:rsidRDefault="00EE7D4F" w:rsidP="00EE7D4F">
      <w:r>
        <w:t xml:space="preserve">Når I har tegne gennemgår en person fra gruppen hele denne </w:t>
      </w:r>
      <w:r w:rsidRPr="00EE7D4F">
        <w:rPr>
          <w:color w:val="0070C0"/>
        </w:rPr>
        <w:t>positive</w:t>
      </w:r>
      <w:r>
        <w:t xml:space="preserve"> </w:t>
      </w:r>
      <w:r>
        <w:t>sammenhæng.</w:t>
      </w:r>
    </w:p>
    <w:p w14:paraId="46E2A762" w14:textId="46C0CC52" w:rsidR="00164123" w:rsidRPr="00164123" w:rsidRDefault="00164123" w:rsidP="00EE7D4F">
      <w:pPr>
        <w:rPr>
          <w:b/>
        </w:rPr>
      </w:pPr>
      <w:r w:rsidRPr="00164123">
        <w:rPr>
          <w:b/>
        </w:rPr>
        <w:t>Opgave 4:</w:t>
      </w:r>
    </w:p>
    <w:p w14:paraId="4E98F3EF" w14:textId="17B2CFBC" w:rsidR="00EE7D4F" w:rsidRDefault="00164123" w:rsidP="00EE7D4F">
      <w:r>
        <w:t>Del jer i to par, og fordel de to nedenstående artikler mellem jer.</w:t>
      </w:r>
    </w:p>
    <w:p w14:paraId="41D82FEC" w14:textId="01A9446D" w:rsidR="00164123" w:rsidRDefault="00164123" w:rsidP="00EE7D4F">
      <w:r>
        <w:t>Læs jeres artikel. Efterfølgende skal i forklare jeres artikels indhold til det andet par, og gennemgå betydning for dansk økonomi ved at bruge de centrale økonomiske sammenhænge.</w:t>
      </w:r>
    </w:p>
    <w:p w14:paraId="55B2B7E7" w14:textId="4445FC80" w:rsidR="00164123" w:rsidRDefault="00164123" w:rsidP="00EE7D4F"/>
    <w:p w14:paraId="27561C7C" w14:textId="74FFD8A2" w:rsidR="00164123" w:rsidRPr="00164123" w:rsidRDefault="00164123" w:rsidP="00164123">
      <w:pPr>
        <w:pStyle w:val="Overskrift1"/>
        <w:rPr>
          <w:rStyle w:val="dre-hyphenate-text"/>
          <w:rFonts w:asciiTheme="minorHAnsi" w:hAnsiTheme="minorHAnsi" w:cstheme="minorHAnsi"/>
          <w:sz w:val="22"/>
          <w:szCs w:val="22"/>
        </w:rPr>
      </w:pPr>
      <w:r w:rsidRPr="00164123">
        <w:rPr>
          <w:rFonts w:asciiTheme="minorHAnsi" w:hAnsiTheme="minorHAnsi" w:cstheme="minorHAnsi"/>
          <w:sz w:val="22"/>
          <w:szCs w:val="22"/>
        </w:rPr>
        <w:t>Artikel 1:</w:t>
      </w:r>
      <w:r w:rsidRPr="00164123">
        <w:rPr>
          <w:rStyle w:val="TitelTegn"/>
          <w:rFonts w:asciiTheme="minorHAnsi" w:hAnsiTheme="minorHAnsi" w:cstheme="minorHAnsi"/>
          <w:sz w:val="22"/>
          <w:szCs w:val="22"/>
        </w:rPr>
        <w:t xml:space="preserve"> </w:t>
      </w:r>
      <w:r w:rsidRPr="00164123">
        <w:rPr>
          <w:rStyle w:val="dre-hyphenate-text"/>
          <w:rFonts w:asciiTheme="minorHAnsi" w:hAnsiTheme="minorHAnsi" w:cstheme="minorHAnsi"/>
          <w:sz w:val="22"/>
          <w:szCs w:val="22"/>
        </w:rPr>
        <w:t xml:space="preserve">Tårnhøj inflation sender </w:t>
      </w:r>
      <w:r w:rsidRPr="00164123">
        <w:rPr>
          <w:rStyle w:val="dre-hyphenate-texthyphen"/>
          <w:rFonts w:asciiTheme="minorHAnsi" w:hAnsiTheme="minorHAnsi" w:cstheme="minorHAnsi"/>
          <w:sz w:val="22"/>
          <w:szCs w:val="22"/>
        </w:rPr>
        <w:t>fødevarepriser</w:t>
      </w:r>
      <w:r w:rsidRPr="00164123">
        <w:rPr>
          <w:rStyle w:val="dre-hyphenate-text"/>
          <w:rFonts w:asciiTheme="minorHAnsi" w:hAnsiTheme="minorHAnsi" w:cstheme="minorHAnsi"/>
          <w:sz w:val="22"/>
          <w:szCs w:val="22"/>
        </w:rPr>
        <w:t xml:space="preserve"> i vejret</w:t>
      </w:r>
    </w:p>
    <w:p w14:paraId="1626A31C" w14:textId="0819490D" w:rsidR="00164123" w:rsidRPr="00164123" w:rsidRDefault="00164123" w:rsidP="00164123">
      <w:pPr>
        <w:pStyle w:val="Overskrift1"/>
        <w:rPr>
          <w:rFonts w:asciiTheme="minorHAnsi" w:hAnsiTheme="minorHAnsi" w:cstheme="minorHAnsi"/>
          <w:b w:val="0"/>
          <w:sz w:val="22"/>
          <w:szCs w:val="22"/>
        </w:rPr>
      </w:pPr>
      <w:r w:rsidRPr="00164123">
        <w:rPr>
          <w:rFonts w:asciiTheme="minorHAnsi" w:hAnsiTheme="minorHAnsi" w:cstheme="minorHAnsi"/>
          <w:b w:val="0"/>
          <w:sz w:val="22"/>
          <w:szCs w:val="22"/>
        </w:rPr>
        <w:t>Fra DR, d. 10. august</w:t>
      </w:r>
    </w:p>
    <w:p w14:paraId="6AC816CB" w14:textId="238B262E" w:rsidR="00164123" w:rsidRPr="00164123" w:rsidRDefault="00164123" w:rsidP="009E61D5">
      <w:pPr>
        <w:pStyle w:val="dre-article-titlesummary"/>
        <w:rPr>
          <w:rFonts w:asciiTheme="minorHAnsi" w:hAnsiTheme="minorHAnsi" w:cstheme="minorHAnsi"/>
          <w:sz w:val="22"/>
          <w:szCs w:val="22"/>
        </w:rPr>
      </w:pPr>
      <w:r w:rsidRPr="00164123">
        <w:rPr>
          <w:rFonts w:asciiTheme="minorHAnsi" w:hAnsiTheme="minorHAnsi" w:cstheme="minorHAnsi"/>
          <w:sz w:val="22"/>
          <w:szCs w:val="22"/>
        </w:rPr>
        <w:t>Hvis du synes, prisen på brød er steget meget, så vent til du ser, hvad der er sket med smørprisen.</w:t>
      </w:r>
      <w:r w:rsidR="009E61D5">
        <w:rPr>
          <w:rFonts w:asciiTheme="minorHAnsi" w:hAnsiTheme="minorHAnsi" w:cstheme="minorHAnsi"/>
          <w:sz w:val="22"/>
          <w:szCs w:val="22"/>
        </w:rPr>
        <w:t xml:space="preserve"> </w:t>
      </w:r>
      <w:r w:rsidRPr="00164123">
        <w:rPr>
          <w:rFonts w:asciiTheme="minorHAnsi" w:hAnsiTheme="minorHAnsi" w:cstheme="minorHAnsi"/>
          <w:sz w:val="22"/>
          <w:szCs w:val="22"/>
        </w:rPr>
        <w:t xml:space="preserve">Det er blevet markant dyrere at være </w:t>
      </w:r>
      <w:r w:rsidRPr="00164123">
        <w:rPr>
          <w:rStyle w:val="dre-glossary-match"/>
          <w:rFonts w:asciiTheme="minorHAnsi" w:hAnsiTheme="minorHAnsi" w:cstheme="minorHAnsi"/>
          <w:sz w:val="22"/>
          <w:szCs w:val="22"/>
        </w:rPr>
        <w:t>forbruger</w:t>
      </w:r>
      <w:r w:rsidRPr="00164123">
        <w:rPr>
          <w:rFonts w:asciiTheme="minorHAnsi" w:hAnsiTheme="minorHAnsi" w:cstheme="minorHAnsi"/>
          <w:sz w:val="22"/>
          <w:szCs w:val="22"/>
        </w:rPr>
        <w:t xml:space="preserve"> det seneste halve år.</w:t>
      </w:r>
    </w:p>
    <w:p w14:paraId="7C66C27A" w14:textId="7AA3B1A1" w:rsidR="00164123" w:rsidRPr="00164123" w:rsidRDefault="00164123" w:rsidP="00164123">
      <w:pPr>
        <w:pStyle w:val="dre-article-body-paragraph"/>
        <w:rPr>
          <w:rFonts w:asciiTheme="minorHAnsi" w:hAnsiTheme="minorHAnsi" w:cstheme="minorHAnsi"/>
          <w:sz w:val="22"/>
          <w:szCs w:val="22"/>
        </w:rPr>
      </w:pPr>
      <w:r w:rsidRPr="00164123">
        <w:rPr>
          <w:rFonts w:asciiTheme="minorHAnsi" w:hAnsiTheme="minorHAnsi" w:cstheme="minorHAnsi"/>
          <w:sz w:val="22"/>
          <w:szCs w:val="22"/>
        </w:rPr>
        <w:t xml:space="preserve">Ifølge Danmarks Statistik, som onsdag kom med nye tal for </w:t>
      </w:r>
      <w:r w:rsidRPr="00164123">
        <w:rPr>
          <w:rStyle w:val="dre-glossary-match"/>
          <w:rFonts w:asciiTheme="minorHAnsi" w:hAnsiTheme="minorHAnsi" w:cstheme="minorHAnsi"/>
          <w:sz w:val="22"/>
          <w:szCs w:val="22"/>
        </w:rPr>
        <w:t>inflationen</w:t>
      </w:r>
      <w:r w:rsidRPr="00164123">
        <w:rPr>
          <w:rFonts w:asciiTheme="minorHAnsi" w:hAnsiTheme="minorHAnsi" w:cstheme="minorHAnsi"/>
          <w:sz w:val="22"/>
          <w:szCs w:val="22"/>
        </w:rPr>
        <w:t>, steg priserne i juli med 8,7 procent til sammenligning med juli sidste år.</w:t>
      </w:r>
      <w:r w:rsidR="009E61D5">
        <w:rPr>
          <w:rFonts w:asciiTheme="minorHAnsi" w:hAnsiTheme="minorHAnsi" w:cstheme="minorHAnsi"/>
          <w:sz w:val="22"/>
          <w:szCs w:val="22"/>
        </w:rPr>
        <w:t xml:space="preserve"> </w:t>
      </w:r>
      <w:r w:rsidRPr="00164123">
        <w:rPr>
          <w:rFonts w:asciiTheme="minorHAnsi" w:hAnsiTheme="minorHAnsi" w:cstheme="minorHAnsi"/>
          <w:sz w:val="22"/>
          <w:szCs w:val="22"/>
        </w:rPr>
        <w:t>Det er den højeste stigning siden 1983, og ifølge en beregning fra Nykredit betyder det, at det bliver omkring 39.000 kroner dyrere for en familie at købe de samme varer i år som sidste år.</w:t>
      </w:r>
      <w:r w:rsidR="009E61D5">
        <w:rPr>
          <w:rFonts w:asciiTheme="minorHAnsi" w:hAnsiTheme="minorHAnsi" w:cstheme="minorHAnsi"/>
          <w:sz w:val="22"/>
          <w:szCs w:val="22"/>
        </w:rPr>
        <w:t xml:space="preserve"> </w:t>
      </w:r>
      <w:r w:rsidRPr="00164123">
        <w:rPr>
          <w:rFonts w:asciiTheme="minorHAnsi" w:hAnsiTheme="minorHAnsi" w:cstheme="minorHAnsi"/>
          <w:sz w:val="22"/>
          <w:szCs w:val="22"/>
        </w:rPr>
        <w:t xml:space="preserve">Der er dog meget store forskelle på stigningerne, hvor det især er dyrere </w:t>
      </w:r>
      <w:r w:rsidRPr="00164123">
        <w:rPr>
          <w:rStyle w:val="dre-glossary-match"/>
          <w:rFonts w:asciiTheme="minorHAnsi" w:hAnsiTheme="minorHAnsi" w:cstheme="minorHAnsi"/>
          <w:sz w:val="22"/>
          <w:szCs w:val="22"/>
        </w:rPr>
        <w:t>fødevarer</w:t>
      </w:r>
      <w:r w:rsidRPr="00164123">
        <w:rPr>
          <w:rFonts w:asciiTheme="minorHAnsi" w:hAnsiTheme="minorHAnsi" w:cstheme="minorHAnsi"/>
          <w:sz w:val="22"/>
          <w:szCs w:val="22"/>
        </w:rPr>
        <w:t xml:space="preserve"> og gas- og elpriser, der trækker gennemsnittet op. Gas er steget med lige under 100 procent, mens el er steget med knap 60 procent.</w:t>
      </w:r>
      <w:r w:rsidR="009E61D5">
        <w:rPr>
          <w:rFonts w:asciiTheme="minorHAnsi" w:hAnsiTheme="minorHAnsi" w:cstheme="minorHAnsi"/>
          <w:sz w:val="22"/>
          <w:szCs w:val="22"/>
        </w:rPr>
        <w:t xml:space="preserve"> </w:t>
      </w:r>
      <w:r w:rsidRPr="00164123">
        <w:rPr>
          <w:rFonts w:asciiTheme="minorHAnsi" w:hAnsiTheme="minorHAnsi" w:cstheme="minorHAnsi"/>
          <w:sz w:val="22"/>
          <w:szCs w:val="22"/>
        </w:rPr>
        <w:t xml:space="preserve">Ser vi på de mest almindelige </w:t>
      </w:r>
      <w:r w:rsidRPr="00164123">
        <w:rPr>
          <w:rStyle w:val="dre-glossary-match"/>
          <w:rFonts w:asciiTheme="minorHAnsi" w:hAnsiTheme="minorHAnsi" w:cstheme="minorHAnsi"/>
          <w:sz w:val="22"/>
          <w:szCs w:val="22"/>
        </w:rPr>
        <w:t>fødevarer</w:t>
      </w:r>
      <w:r w:rsidRPr="00164123">
        <w:rPr>
          <w:rFonts w:asciiTheme="minorHAnsi" w:hAnsiTheme="minorHAnsi" w:cstheme="minorHAnsi"/>
          <w:sz w:val="22"/>
          <w:szCs w:val="22"/>
        </w:rPr>
        <w:t xml:space="preserve"> i opgørelsen fra Danmarks Statistik, er stort set alle de mest almindelige </w:t>
      </w:r>
      <w:r w:rsidRPr="00164123">
        <w:rPr>
          <w:rStyle w:val="dre-glossary-match"/>
          <w:rFonts w:asciiTheme="minorHAnsi" w:hAnsiTheme="minorHAnsi" w:cstheme="minorHAnsi"/>
          <w:sz w:val="22"/>
          <w:szCs w:val="22"/>
        </w:rPr>
        <w:t>fødevarer</w:t>
      </w:r>
      <w:r w:rsidRPr="00164123">
        <w:rPr>
          <w:rFonts w:asciiTheme="minorHAnsi" w:hAnsiTheme="minorHAnsi" w:cstheme="minorHAnsi"/>
          <w:sz w:val="22"/>
          <w:szCs w:val="22"/>
        </w:rPr>
        <w:t xml:space="preserve"> steget med </w:t>
      </w:r>
      <w:r w:rsidRPr="00164123">
        <w:rPr>
          <w:rStyle w:val="dre-glossary-match"/>
          <w:rFonts w:asciiTheme="minorHAnsi" w:hAnsiTheme="minorHAnsi" w:cstheme="minorHAnsi"/>
          <w:sz w:val="22"/>
          <w:szCs w:val="22"/>
        </w:rPr>
        <w:t>tocifrede</w:t>
      </w:r>
      <w:r w:rsidRPr="00164123">
        <w:rPr>
          <w:rFonts w:asciiTheme="minorHAnsi" w:hAnsiTheme="minorHAnsi" w:cstheme="minorHAnsi"/>
          <w:sz w:val="22"/>
          <w:szCs w:val="22"/>
        </w:rPr>
        <w:t xml:space="preserve"> procentsatser.</w:t>
      </w:r>
    </w:p>
    <w:p w14:paraId="0D3FC3BA" w14:textId="77777777" w:rsidR="00164123" w:rsidRPr="00164123" w:rsidRDefault="00164123" w:rsidP="00164123">
      <w:pPr>
        <w:pStyle w:val="dre-article-body-paragraph"/>
        <w:rPr>
          <w:rFonts w:asciiTheme="minorHAnsi" w:hAnsiTheme="minorHAnsi" w:cstheme="minorHAnsi"/>
          <w:sz w:val="22"/>
          <w:szCs w:val="22"/>
        </w:rPr>
      </w:pPr>
      <w:r w:rsidRPr="00164123">
        <w:rPr>
          <w:rFonts w:asciiTheme="minorHAnsi" w:hAnsiTheme="minorHAnsi" w:cstheme="minorHAnsi"/>
          <w:sz w:val="22"/>
          <w:szCs w:val="22"/>
        </w:rPr>
        <w:t>Ifølge DR’s økonomikorrespondent Casper Schrøder skal årsagen findes i de stigende energipriser, vi så inden fødevarerne for alvor steg:</w:t>
      </w:r>
    </w:p>
    <w:p w14:paraId="62445E5B" w14:textId="77777777" w:rsidR="00164123" w:rsidRPr="00164123" w:rsidRDefault="00164123" w:rsidP="00164123">
      <w:pPr>
        <w:pStyle w:val="dre-article-body-paragraph"/>
        <w:rPr>
          <w:rFonts w:asciiTheme="minorHAnsi" w:hAnsiTheme="minorHAnsi" w:cstheme="minorHAnsi"/>
          <w:sz w:val="22"/>
          <w:szCs w:val="22"/>
        </w:rPr>
      </w:pPr>
      <w:r w:rsidRPr="00164123">
        <w:rPr>
          <w:rFonts w:asciiTheme="minorHAnsi" w:hAnsiTheme="minorHAnsi" w:cstheme="minorHAnsi"/>
          <w:sz w:val="22"/>
          <w:szCs w:val="22"/>
        </w:rPr>
        <w:lastRenderedPageBreak/>
        <w:t>- De prisstigninger, som begyndte tidligere på året med energi, der skal til for at lave fødevarerne, er nu for alvor nået helt frem til køledisken. Alligevel overrasker det faktisk mange, at fødevarerne er endt med at stige så meget, som det sker lige nu, hvor mange jo kan se på prismærkerne, at det helt tydeligt bliver dyrere måned for måned at købe ind til dagligdagen.</w:t>
      </w:r>
    </w:p>
    <w:p w14:paraId="7E31AE00" w14:textId="2DCAAEB9" w:rsidR="00164123" w:rsidRDefault="00164123" w:rsidP="00164123">
      <w:pPr>
        <w:pStyle w:val="dre-article-titlesummary"/>
        <w:rPr>
          <w:rFonts w:asciiTheme="minorHAnsi" w:hAnsiTheme="minorHAnsi" w:cstheme="minorHAnsi"/>
          <w:sz w:val="22"/>
          <w:szCs w:val="22"/>
        </w:rPr>
      </w:pPr>
      <w:r w:rsidRPr="00164123">
        <w:rPr>
          <w:rFonts w:asciiTheme="minorHAnsi" w:hAnsiTheme="minorHAnsi" w:cstheme="minorHAnsi"/>
          <w:sz w:val="22"/>
          <w:szCs w:val="22"/>
        </w:rPr>
        <w:t xml:space="preserve">- Det gør ofte ondt på almindelige menneskers økonomi, når </w:t>
      </w:r>
      <w:r w:rsidRPr="00164123">
        <w:rPr>
          <w:rStyle w:val="dre-glossary-match"/>
          <w:rFonts w:asciiTheme="minorHAnsi" w:eastAsiaTheme="majorEastAsia" w:hAnsiTheme="minorHAnsi" w:cstheme="minorHAnsi"/>
          <w:sz w:val="22"/>
          <w:szCs w:val="22"/>
        </w:rPr>
        <w:t>inflationen</w:t>
      </w:r>
      <w:r w:rsidRPr="00164123">
        <w:rPr>
          <w:rFonts w:asciiTheme="minorHAnsi" w:hAnsiTheme="minorHAnsi" w:cstheme="minorHAnsi"/>
          <w:sz w:val="22"/>
          <w:szCs w:val="22"/>
        </w:rPr>
        <w:t xml:space="preserve"> skal ned. For normalt sker det først, når den samlede økonomiske aktivitet falder – for så har vi simpelthen færre penge at købe varer for, og den lavere efterspørgsel får priserne dæmpet</w:t>
      </w:r>
      <w:r w:rsidR="009E61D5">
        <w:rPr>
          <w:rFonts w:asciiTheme="minorHAnsi" w:hAnsiTheme="minorHAnsi" w:cstheme="minorHAnsi"/>
          <w:sz w:val="22"/>
          <w:szCs w:val="22"/>
        </w:rPr>
        <w:t>.</w:t>
      </w:r>
    </w:p>
    <w:p w14:paraId="539DABD3" w14:textId="62D59577" w:rsidR="009E61D5" w:rsidRDefault="009E61D5" w:rsidP="00164123">
      <w:pPr>
        <w:pStyle w:val="dre-article-titlesummary"/>
        <w:rPr>
          <w:rFonts w:asciiTheme="minorHAnsi" w:hAnsiTheme="minorHAnsi" w:cstheme="minorHAnsi"/>
          <w:sz w:val="22"/>
          <w:szCs w:val="22"/>
        </w:rPr>
      </w:pPr>
    </w:p>
    <w:p w14:paraId="2592C0DB" w14:textId="599AFEE6" w:rsidR="009E61D5" w:rsidRPr="009E61D5" w:rsidRDefault="009E61D5" w:rsidP="009E61D5">
      <w:pPr>
        <w:pStyle w:val="Overskrift1"/>
        <w:rPr>
          <w:rStyle w:val="dre-hyphenate-text"/>
          <w:rFonts w:asciiTheme="minorHAnsi" w:hAnsiTheme="minorHAnsi" w:cstheme="minorHAnsi"/>
          <w:sz w:val="22"/>
          <w:szCs w:val="22"/>
        </w:rPr>
      </w:pPr>
      <w:r w:rsidRPr="009E61D5">
        <w:rPr>
          <w:rFonts w:asciiTheme="minorHAnsi" w:hAnsiTheme="minorHAnsi" w:cstheme="minorHAnsi"/>
          <w:sz w:val="22"/>
          <w:szCs w:val="22"/>
        </w:rPr>
        <w:t xml:space="preserve">Artikel 2: </w:t>
      </w:r>
      <w:r w:rsidRPr="009E61D5">
        <w:rPr>
          <w:rStyle w:val="dre-hyphenate-text"/>
          <w:rFonts w:asciiTheme="minorHAnsi" w:hAnsiTheme="minorHAnsi" w:cstheme="minorHAnsi"/>
          <w:sz w:val="22"/>
          <w:szCs w:val="22"/>
        </w:rPr>
        <w:t xml:space="preserve">Rentehop rammer tusindvis af boligejere på </w:t>
      </w:r>
      <w:r w:rsidRPr="009E61D5">
        <w:rPr>
          <w:rStyle w:val="dre-hyphenate-texthyphen"/>
          <w:rFonts w:asciiTheme="minorHAnsi" w:hAnsiTheme="minorHAnsi" w:cstheme="minorHAnsi"/>
          <w:sz w:val="22"/>
          <w:szCs w:val="22"/>
        </w:rPr>
        <w:t>pengepungen</w:t>
      </w:r>
      <w:r w:rsidRPr="009E61D5">
        <w:rPr>
          <w:rStyle w:val="dre-hyphenate-text"/>
          <w:rFonts w:asciiTheme="minorHAnsi" w:hAnsiTheme="minorHAnsi" w:cstheme="minorHAnsi"/>
          <w:sz w:val="22"/>
          <w:szCs w:val="22"/>
        </w:rPr>
        <w:t xml:space="preserve"> fra nytår</w:t>
      </w:r>
    </w:p>
    <w:p w14:paraId="2A31A256" w14:textId="0222A781" w:rsidR="009E61D5" w:rsidRPr="009E61D5" w:rsidRDefault="009E61D5" w:rsidP="009E61D5">
      <w:pPr>
        <w:pStyle w:val="Overskrift1"/>
        <w:rPr>
          <w:rFonts w:asciiTheme="minorHAnsi" w:hAnsiTheme="minorHAnsi" w:cstheme="minorHAnsi"/>
          <w:b w:val="0"/>
          <w:sz w:val="22"/>
          <w:szCs w:val="22"/>
        </w:rPr>
      </w:pPr>
      <w:r w:rsidRPr="009E61D5">
        <w:rPr>
          <w:rFonts w:asciiTheme="minorHAnsi" w:hAnsiTheme="minorHAnsi" w:cstheme="minorHAnsi"/>
          <w:b w:val="0"/>
          <w:sz w:val="22"/>
          <w:szCs w:val="22"/>
        </w:rPr>
        <w:t>Fra DR, d. 27. december 2022</w:t>
      </w:r>
    </w:p>
    <w:p w14:paraId="5141FBA1" w14:textId="77777777" w:rsidR="009E61D5" w:rsidRP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Fra nytår bliver op mod 200.000 boligejere med lån med kort rentebinding ramt af en rentestigning.</w:t>
      </w:r>
    </w:p>
    <w:p w14:paraId="3F453038" w14:textId="706F1EB6" w:rsidR="009E61D5" w:rsidRP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 xml:space="preserve">Det oplyser Realkredit Danmark og Arbejdernes Landsbank tirsdag ifølge Ritzau. Udmeldingen kommer, efter der er blevet fastsat ny rente for låntyper, hvor renten </w:t>
      </w:r>
      <w:r w:rsidRPr="009E61D5">
        <w:rPr>
          <w:rStyle w:val="dre-glossary-match"/>
          <w:rFonts w:asciiTheme="minorHAnsi" w:hAnsiTheme="minorHAnsi" w:cstheme="minorHAnsi"/>
          <w:sz w:val="22"/>
          <w:szCs w:val="22"/>
        </w:rPr>
        <w:t>justeres</w:t>
      </w:r>
      <w:r w:rsidRPr="009E61D5">
        <w:rPr>
          <w:rFonts w:asciiTheme="minorHAnsi" w:hAnsiTheme="minorHAnsi" w:cstheme="minorHAnsi"/>
          <w:sz w:val="22"/>
          <w:szCs w:val="22"/>
        </w:rPr>
        <w:t xml:space="preserve"> hvert halve år efter det, der hedder Cita-renten, som er et rentegennemsnit baseret på pengeinstitutters udlån mellem hinanden med en bankdags lånetid.</w:t>
      </w:r>
      <w:r w:rsidRPr="009E61D5">
        <w:rPr>
          <w:rFonts w:asciiTheme="minorHAnsi" w:hAnsiTheme="minorHAnsi" w:cstheme="minorHAnsi"/>
          <w:sz w:val="22"/>
          <w:szCs w:val="22"/>
        </w:rPr>
        <w:t xml:space="preserve"> </w:t>
      </w:r>
      <w:r w:rsidRPr="009E61D5">
        <w:rPr>
          <w:rFonts w:asciiTheme="minorHAnsi" w:hAnsiTheme="minorHAnsi" w:cstheme="minorHAnsi"/>
          <w:sz w:val="22"/>
          <w:szCs w:val="22"/>
        </w:rPr>
        <w:t>Den nye rente træder i kraft fra nytår.</w:t>
      </w:r>
    </w:p>
    <w:p w14:paraId="5BAE590D" w14:textId="77777777" w:rsidR="009E61D5" w:rsidRP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 xml:space="preserve">Det er et rentehop, som vil kunne mærkes på pengepungen, vurderer Mikkel Høegh, der er boligøkonom hos Jyske Bank, hvis man har et </w:t>
      </w:r>
      <w:r w:rsidRPr="009E61D5">
        <w:rPr>
          <w:rStyle w:val="dre-glossary-match"/>
          <w:rFonts w:asciiTheme="minorHAnsi" w:hAnsiTheme="minorHAnsi" w:cstheme="minorHAnsi"/>
          <w:sz w:val="22"/>
          <w:szCs w:val="22"/>
        </w:rPr>
        <w:t>boliglån</w:t>
      </w:r>
      <w:r w:rsidRPr="009E61D5">
        <w:rPr>
          <w:rFonts w:asciiTheme="minorHAnsi" w:hAnsiTheme="minorHAnsi" w:cstheme="minorHAnsi"/>
          <w:sz w:val="22"/>
          <w:szCs w:val="22"/>
        </w:rPr>
        <w:t xml:space="preserve"> med kort rentebinding.</w:t>
      </w:r>
    </w:p>
    <w:p w14:paraId="4A9B37AA" w14:textId="77777777" w:rsidR="009E61D5" w:rsidRP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 xml:space="preserve">- For et år siden kan den sammenlignes med en rente, der hed 0,5 procent. Så der er nogle boligejere, der oplever, at de får en højere </w:t>
      </w:r>
      <w:r w:rsidRPr="009E61D5">
        <w:rPr>
          <w:rStyle w:val="dre-glossary-match"/>
          <w:rFonts w:asciiTheme="minorHAnsi" w:hAnsiTheme="minorHAnsi" w:cstheme="minorHAnsi"/>
          <w:sz w:val="22"/>
          <w:szCs w:val="22"/>
        </w:rPr>
        <w:t>husleje</w:t>
      </w:r>
      <w:r w:rsidRPr="009E61D5">
        <w:rPr>
          <w:rFonts w:asciiTheme="minorHAnsi" w:hAnsiTheme="minorHAnsi" w:cstheme="minorHAnsi"/>
          <w:sz w:val="22"/>
          <w:szCs w:val="22"/>
        </w:rPr>
        <w:t>.</w:t>
      </w:r>
    </w:p>
    <w:p w14:paraId="3FB35CD5" w14:textId="77777777" w:rsidR="009E61D5" w:rsidRP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Ifølge Mikkel Høegh vil det blive cirka 1.300 kroner dyrere om måneden per million lånt, hvis man har afdragsfrihed, mens det vil være halvdelen, hvis man betaler afdrag.</w:t>
      </w:r>
    </w:p>
    <w:p w14:paraId="5EFD3CAE" w14:textId="77777777" w:rsidR="009E61D5" w:rsidRP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 xml:space="preserve">- Det her en stigning i </w:t>
      </w:r>
      <w:r w:rsidRPr="009E61D5">
        <w:rPr>
          <w:rStyle w:val="dre-glossary-match"/>
          <w:rFonts w:asciiTheme="minorHAnsi" w:hAnsiTheme="minorHAnsi" w:cstheme="minorHAnsi"/>
          <w:sz w:val="22"/>
          <w:szCs w:val="22"/>
        </w:rPr>
        <w:t>huslejen</w:t>
      </w:r>
      <w:r w:rsidRPr="009E61D5">
        <w:rPr>
          <w:rFonts w:asciiTheme="minorHAnsi" w:hAnsiTheme="minorHAnsi" w:cstheme="minorHAnsi"/>
          <w:sz w:val="22"/>
          <w:szCs w:val="22"/>
        </w:rPr>
        <w:t>, som langt de fleste kan mærke, siger Mikkel Høegh.</w:t>
      </w:r>
    </w:p>
    <w:p w14:paraId="3ED22153" w14:textId="60A702DB" w:rsidR="009E61D5" w:rsidRDefault="009E61D5" w:rsidP="009E61D5">
      <w:pPr>
        <w:pStyle w:val="dre-article-body-paragraph"/>
        <w:rPr>
          <w:rFonts w:asciiTheme="minorHAnsi" w:hAnsiTheme="minorHAnsi" w:cstheme="minorHAnsi"/>
          <w:sz w:val="22"/>
          <w:szCs w:val="22"/>
        </w:rPr>
      </w:pPr>
      <w:r w:rsidRPr="009E61D5">
        <w:rPr>
          <w:rFonts w:asciiTheme="minorHAnsi" w:hAnsiTheme="minorHAnsi" w:cstheme="minorHAnsi"/>
          <w:sz w:val="22"/>
          <w:szCs w:val="22"/>
        </w:rPr>
        <w:t>- Der er ingen tvivl om, at mens vi har haft de høje inflationstal, som er baggrunden for, at renterne er steget så meget, der har vi haft en meget kraftig rentestigning. Så det er gået meget hurtigt opad over kort tid, og det betyder måske også, at der er nogen, der oplever, at de har kort tid til at indrette sig i deres økonomi.</w:t>
      </w:r>
      <w:r w:rsidRPr="009E61D5">
        <w:rPr>
          <w:rFonts w:asciiTheme="minorHAnsi" w:hAnsiTheme="minorHAnsi" w:cstheme="minorHAnsi"/>
          <w:sz w:val="22"/>
          <w:szCs w:val="22"/>
        </w:rPr>
        <w:t xml:space="preserve"> </w:t>
      </w:r>
      <w:r w:rsidRPr="009E61D5">
        <w:rPr>
          <w:rFonts w:asciiTheme="minorHAnsi" w:hAnsiTheme="minorHAnsi" w:cstheme="minorHAnsi"/>
          <w:sz w:val="22"/>
          <w:szCs w:val="22"/>
        </w:rPr>
        <w:t xml:space="preserve">Det er Mikkel Høeghs forventning, at renterne vil stige yderligere i 2023, fordi centralbankerne forsøger at bekæmpe </w:t>
      </w:r>
      <w:r w:rsidRPr="009E61D5">
        <w:rPr>
          <w:rStyle w:val="dre-glossary-match"/>
          <w:rFonts w:asciiTheme="minorHAnsi" w:eastAsiaTheme="majorEastAsia" w:hAnsiTheme="minorHAnsi" w:cstheme="minorHAnsi"/>
          <w:sz w:val="22"/>
          <w:szCs w:val="22"/>
        </w:rPr>
        <w:t>inflationen</w:t>
      </w:r>
      <w:r w:rsidRPr="009E61D5">
        <w:rPr>
          <w:rFonts w:asciiTheme="minorHAnsi" w:hAnsiTheme="minorHAnsi" w:cstheme="minorHAnsi"/>
          <w:sz w:val="22"/>
          <w:szCs w:val="22"/>
        </w:rPr>
        <w:t>. Men i anden halvdel af året vil det formentlig vende.</w:t>
      </w:r>
    </w:p>
    <w:p w14:paraId="022568C6" w14:textId="703125E7" w:rsidR="008131B0" w:rsidRDefault="008131B0" w:rsidP="009E61D5">
      <w:pPr>
        <w:pStyle w:val="dre-article-body-paragraph"/>
        <w:rPr>
          <w:rFonts w:asciiTheme="minorHAnsi" w:hAnsiTheme="minorHAnsi" w:cstheme="minorHAnsi"/>
          <w:sz w:val="22"/>
          <w:szCs w:val="22"/>
        </w:rPr>
      </w:pPr>
    </w:p>
    <w:p w14:paraId="2888150B" w14:textId="03842535" w:rsidR="008131B0" w:rsidRDefault="008131B0" w:rsidP="009E61D5">
      <w:pPr>
        <w:pStyle w:val="dre-article-body-paragraph"/>
        <w:rPr>
          <w:rFonts w:asciiTheme="minorHAnsi" w:hAnsiTheme="minorHAnsi" w:cstheme="minorHAnsi"/>
          <w:b/>
          <w:sz w:val="22"/>
          <w:szCs w:val="22"/>
        </w:rPr>
      </w:pPr>
      <w:r w:rsidRPr="008131B0">
        <w:rPr>
          <w:rFonts w:asciiTheme="minorHAnsi" w:hAnsiTheme="minorHAnsi" w:cstheme="minorHAnsi"/>
          <w:b/>
          <w:sz w:val="22"/>
          <w:szCs w:val="22"/>
        </w:rPr>
        <w:t>Opgave 5:</w:t>
      </w:r>
    </w:p>
    <w:p w14:paraId="7F942191" w14:textId="71033237" w:rsidR="008131B0" w:rsidRDefault="008131B0" w:rsidP="009E61D5">
      <w:pPr>
        <w:pStyle w:val="dre-article-body-paragraph"/>
        <w:rPr>
          <w:rFonts w:asciiTheme="minorHAnsi" w:hAnsiTheme="minorHAnsi" w:cstheme="minorHAnsi"/>
          <w:sz w:val="22"/>
          <w:szCs w:val="22"/>
        </w:rPr>
      </w:pPr>
      <w:r>
        <w:rPr>
          <w:rFonts w:asciiTheme="minorHAnsi" w:hAnsiTheme="minorHAnsi" w:cstheme="minorHAnsi"/>
          <w:sz w:val="22"/>
          <w:szCs w:val="22"/>
        </w:rPr>
        <w:t>Hvilke forventninger til fremtiden har danskerne lige nu?</w:t>
      </w:r>
    </w:p>
    <w:p w14:paraId="56078DB8" w14:textId="5531D879" w:rsidR="008131B0" w:rsidRPr="008131B0" w:rsidRDefault="008131B0" w:rsidP="009E61D5">
      <w:pPr>
        <w:pStyle w:val="dre-article-body-paragraph"/>
        <w:rPr>
          <w:rFonts w:asciiTheme="minorHAnsi" w:hAnsiTheme="minorHAnsi" w:cstheme="minorHAnsi"/>
          <w:sz w:val="22"/>
          <w:szCs w:val="22"/>
        </w:rPr>
      </w:pPr>
      <w:r>
        <w:rPr>
          <w:rFonts w:asciiTheme="minorHAnsi" w:hAnsiTheme="minorHAnsi" w:cstheme="minorHAnsi"/>
          <w:sz w:val="22"/>
          <w:szCs w:val="22"/>
        </w:rPr>
        <w:t xml:space="preserve">Se: </w:t>
      </w:r>
      <w:hyperlink r:id="rId5" w:history="1">
        <w:r w:rsidRPr="003E399D">
          <w:rPr>
            <w:rStyle w:val="Hyperlink"/>
            <w:rFonts w:asciiTheme="minorHAnsi" w:hAnsiTheme="minorHAnsi" w:cstheme="minorHAnsi"/>
            <w:sz w:val="22"/>
            <w:szCs w:val="22"/>
          </w:rPr>
          <w:t>https://www.dst.dk/da/Statistik/nyheder-analyser-publ/nyt/NytHtml?cid=39981</w:t>
        </w:r>
      </w:hyperlink>
      <w:bookmarkStart w:id="0" w:name="_GoBack"/>
      <w:bookmarkEnd w:id="0"/>
    </w:p>
    <w:sectPr w:rsidR="008131B0" w:rsidRPr="008131B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C57"/>
    <w:rsid w:val="00164123"/>
    <w:rsid w:val="008131B0"/>
    <w:rsid w:val="009E61D5"/>
    <w:rsid w:val="00B92C57"/>
    <w:rsid w:val="00EE7D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32ADF"/>
  <w15:chartTrackingRefBased/>
  <w15:docId w15:val="{E718466C-EAA5-405C-9636-6295D618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1641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EE7D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E7D4F"/>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164123"/>
    <w:rPr>
      <w:rFonts w:ascii="Times New Roman" w:eastAsia="Times New Roman" w:hAnsi="Times New Roman" w:cs="Times New Roman"/>
      <w:b/>
      <w:bCs/>
      <w:kern w:val="36"/>
      <w:sz w:val="48"/>
      <w:szCs w:val="48"/>
      <w:lang w:eastAsia="da-DK"/>
    </w:rPr>
  </w:style>
  <w:style w:type="character" w:customStyle="1" w:styleId="dre-hyphenate-text">
    <w:name w:val="dre-hyphenate-text"/>
    <w:basedOn w:val="Standardskrifttypeiafsnit"/>
    <w:rsid w:val="00164123"/>
  </w:style>
  <w:style w:type="paragraph" w:customStyle="1" w:styleId="dre-article-body-paragraph">
    <w:name w:val="dre-article-body-paragraph"/>
    <w:basedOn w:val="Normal"/>
    <w:rsid w:val="0016412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dre-glossary-match">
    <w:name w:val="dre-glossary-match"/>
    <w:basedOn w:val="Standardskrifttypeiafsnit"/>
    <w:rsid w:val="00164123"/>
  </w:style>
  <w:style w:type="character" w:styleId="Hyperlink">
    <w:name w:val="Hyperlink"/>
    <w:basedOn w:val="Standardskrifttypeiafsnit"/>
    <w:uiPriority w:val="99"/>
    <w:unhideWhenUsed/>
    <w:rsid w:val="00164123"/>
    <w:rPr>
      <w:color w:val="0000FF"/>
      <w:u w:val="single"/>
    </w:rPr>
  </w:style>
  <w:style w:type="character" w:customStyle="1" w:styleId="dre-hyphenate-texthyphen">
    <w:name w:val="dre-hyphenate-text__hyphen"/>
    <w:basedOn w:val="Standardskrifttypeiafsnit"/>
    <w:rsid w:val="00164123"/>
  </w:style>
  <w:style w:type="paragraph" w:customStyle="1" w:styleId="dre-article-titlesummary">
    <w:name w:val="dre-article-title__summary"/>
    <w:basedOn w:val="Normal"/>
    <w:rsid w:val="0016412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Ulstomtale">
    <w:name w:val="Unresolved Mention"/>
    <w:basedOn w:val="Standardskrifttypeiafsnit"/>
    <w:uiPriority w:val="99"/>
    <w:semiHidden/>
    <w:unhideWhenUsed/>
    <w:rsid w:val="00813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2831">
      <w:bodyDiv w:val="1"/>
      <w:marLeft w:val="0"/>
      <w:marRight w:val="0"/>
      <w:marTop w:val="0"/>
      <w:marBottom w:val="0"/>
      <w:divBdr>
        <w:top w:val="none" w:sz="0" w:space="0" w:color="auto"/>
        <w:left w:val="none" w:sz="0" w:space="0" w:color="auto"/>
        <w:bottom w:val="none" w:sz="0" w:space="0" w:color="auto"/>
        <w:right w:val="none" w:sz="0" w:space="0" w:color="auto"/>
      </w:divBdr>
      <w:divsChild>
        <w:div w:id="292256372">
          <w:marLeft w:val="0"/>
          <w:marRight w:val="0"/>
          <w:marTop w:val="0"/>
          <w:marBottom w:val="0"/>
          <w:divBdr>
            <w:top w:val="none" w:sz="0" w:space="0" w:color="auto"/>
            <w:left w:val="none" w:sz="0" w:space="0" w:color="auto"/>
            <w:bottom w:val="none" w:sz="0" w:space="0" w:color="auto"/>
            <w:right w:val="none" w:sz="0" w:space="0" w:color="auto"/>
          </w:divBdr>
        </w:div>
        <w:div w:id="1371104855">
          <w:marLeft w:val="0"/>
          <w:marRight w:val="0"/>
          <w:marTop w:val="0"/>
          <w:marBottom w:val="0"/>
          <w:divBdr>
            <w:top w:val="none" w:sz="0" w:space="0" w:color="auto"/>
            <w:left w:val="none" w:sz="0" w:space="0" w:color="auto"/>
            <w:bottom w:val="none" w:sz="0" w:space="0" w:color="auto"/>
            <w:right w:val="none" w:sz="0" w:space="0" w:color="auto"/>
          </w:divBdr>
        </w:div>
        <w:div w:id="1090855372">
          <w:marLeft w:val="0"/>
          <w:marRight w:val="0"/>
          <w:marTop w:val="0"/>
          <w:marBottom w:val="0"/>
          <w:divBdr>
            <w:top w:val="none" w:sz="0" w:space="0" w:color="auto"/>
            <w:left w:val="none" w:sz="0" w:space="0" w:color="auto"/>
            <w:bottom w:val="none" w:sz="0" w:space="0" w:color="auto"/>
            <w:right w:val="none" w:sz="0" w:space="0" w:color="auto"/>
          </w:divBdr>
        </w:div>
        <w:div w:id="621498157">
          <w:marLeft w:val="0"/>
          <w:marRight w:val="0"/>
          <w:marTop w:val="0"/>
          <w:marBottom w:val="0"/>
          <w:divBdr>
            <w:top w:val="none" w:sz="0" w:space="0" w:color="auto"/>
            <w:left w:val="none" w:sz="0" w:space="0" w:color="auto"/>
            <w:bottom w:val="none" w:sz="0" w:space="0" w:color="auto"/>
            <w:right w:val="none" w:sz="0" w:space="0" w:color="auto"/>
          </w:divBdr>
        </w:div>
      </w:divsChild>
    </w:div>
    <w:div w:id="38014752">
      <w:bodyDiv w:val="1"/>
      <w:marLeft w:val="0"/>
      <w:marRight w:val="0"/>
      <w:marTop w:val="0"/>
      <w:marBottom w:val="0"/>
      <w:divBdr>
        <w:top w:val="none" w:sz="0" w:space="0" w:color="auto"/>
        <w:left w:val="none" w:sz="0" w:space="0" w:color="auto"/>
        <w:bottom w:val="none" w:sz="0" w:space="0" w:color="auto"/>
        <w:right w:val="none" w:sz="0" w:space="0" w:color="auto"/>
      </w:divBdr>
      <w:divsChild>
        <w:div w:id="1099176930">
          <w:marLeft w:val="0"/>
          <w:marRight w:val="0"/>
          <w:marTop w:val="0"/>
          <w:marBottom w:val="0"/>
          <w:divBdr>
            <w:top w:val="none" w:sz="0" w:space="0" w:color="auto"/>
            <w:left w:val="none" w:sz="0" w:space="0" w:color="auto"/>
            <w:bottom w:val="none" w:sz="0" w:space="0" w:color="auto"/>
            <w:right w:val="none" w:sz="0" w:space="0" w:color="auto"/>
          </w:divBdr>
        </w:div>
        <w:div w:id="954478823">
          <w:marLeft w:val="0"/>
          <w:marRight w:val="0"/>
          <w:marTop w:val="0"/>
          <w:marBottom w:val="0"/>
          <w:divBdr>
            <w:top w:val="none" w:sz="0" w:space="0" w:color="auto"/>
            <w:left w:val="none" w:sz="0" w:space="0" w:color="auto"/>
            <w:bottom w:val="none" w:sz="0" w:space="0" w:color="auto"/>
            <w:right w:val="none" w:sz="0" w:space="0" w:color="auto"/>
          </w:divBdr>
        </w:div>
        <w:div w:id="668480883">
          <w:marLeft w:val="0"/>
          <w:marRight w:val="0"/>
          <w:marTop w:val="0"/>
          <w:marBottom w:val="0"/>
          <w:divBdr>
            <w:top w:val="none" w:sz="0" w:space="0" w:color="auto"/>
            <w:left w:val="none" w:sz="0" w:space="0" w:color="auto"/>
            <w:bottom w:val="none" w:sz="0" w:space="0" w:color="auto"/>
            <w:right w:val="none" w:sz="0" w:space="0" w:color="auto"/>
          </w:divBdr>
        </w:div>
      </w:divsChild>
    </w:div>
    <w:div w:id="209223577">
      <w:bodyDiv w:val="1"/>
      <w:marLeft w:val="0"/>
      <w:marRight w:val="0"/>
      <w:marTop w:val="0"/>
      <w:marBottom w:val="0"/>
      <w:divBdr>
        <w:top w:val="none" w:sz="0" w:space="0" w:color="auto"/>
        <w:left w:val="none" w:sz="0" w:space="0" w:color="auto"/>
        <w:bottom w:val="none" w:sz="0" w:space="0" w:color="auto"/>
        <w:right w:val="none" w:sz="0" w:space="0" w:color="auto"/>
      </w:divBdr>
      <w:divsChild>
        <w:div w:id="469909622">
          <w:marLeft w:val="0"/>
          <w:marRight w:val="0"/>
          <w:marTop w:val="0"/>
          <w:marBottom w:val="0"/>
          <w:divBdr>
            <w:top w:val="none" w:sz="0" w:space="0" w:color="auto"/>
            <w:left w:val="none" w:sz="0" w:space="0" w:color="auto"/>
            <w:bottom w:val="none" w:sz="0" w:space="0" w:color="auto"/>
            <w:right w:val="none" w:sz="0" w:space="0" w:color="auto"/>
          </w:divBdr>
          <w:divsChild>
            <w:div w:id="1651011145">
              <w:marLeft w:val="0"/>
              <w:marRight w:val="0"/>
              <w:marTop w:val="0"/>
              <w:marBottom w:val="0"/>
              <w:divBdr>
                <w:top w:val="none" w:sz="0" w:space="0" w:color="auto"/>
                <w:left w:val="none" w:sz="0" w:space="0" w:color="auto"/>
                <w:bottom w:val="none" w:sz="0" w:space="0" w:color="auto"/>
                <w:right w:val="none" w:sz="0" w:space="0" w:color="auto"/>
              </w:divBdr>
              <w:divsChild>
                <w:div w:id="1166558896">
                  <w:marLeft w:val="0"/>
                  <w:marRight w:val="0"/>
                  <w:marTop w:val="0"/>
                  <w:marBottom w:val="0"/>
                  <w:divBdr>
                    <w:top w:val="none" w:sz="0" w:space="0" w:color="auto"/>
                    <w:left w:val="none" w:sz="0" w:space="0" w:color="auto"/>
                    <w:bottom w:val="none" w:sz="0" w:space="0" w:color="auto"/>
                    <w:right w:val="none" w:sz="0" w:space="0" w:color="auto"/>
                  </w:divBdr>
                </w:div>
                <w:div w:id="1733237584">
                  <w:marLeft w:val="0"/>
                  <w:marRight w:val="0"/>
                  <w:marTop w:val="0"/>
                  <w:marBottom w:val="0"/>
                  <w:divBdr>
                    <w:top w:val="none" w:sz="0" w:space="0" w:color="auto"/>
                    <w:left w:val="none" w:sz="0" w:space="0" w:color="auto"/>
                    <w:bottom w:val="none" w:sz="0" w:space="0" w:color="auto"/>
                    <w:right w:val="none" w:sz="0" w:space="0" w:color="auto"/>
                  </w:divBdr>
                </w:div>
                <w:div w:id="1794978554">
                  <w:marLeft w:val="0"/>
                  <w:marRight w:val="0"/>
                  <w:marTop w:val="0"/>
                  <w:marBottom w:val="0"/>
                  <w:divBdr>
                    <w:top w:val="none" w:sz="0" w:space="0" w:color="auto"/>
                    <w:left w:val="none" w:sz="0" w:space="0" w:color="auto"/>
                    <w:bottom w:val="none" w:sz="0" w:space="0" w:color="auto"/>
                    <w:right w:val="none" w:sz="0" w:space="0" w:color="auto"/>
                  </w:divBdr>
                </w:div>
                <w:div w:id="12104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3677">
      <w:bodyDiv w:val="1"/>
      <w:marLeft w:val="0"/>
      <w:marRight w:val="0"/>
      <w:marTop w:val="0"/>
      <w:marBottom w:val="0"/>
      <w:divBdr>
        <w:top w:val="none" w:sz="0" w:space="0" w:color="auto"/>
        <w:left w:val="none" w:sz="0" w:space="0" w:color="auto"/>
        <w:bottom w:val="none" w:sz="0" w:space="0" w:color="auto"/>
        <w:right w:val="none" w:sz="0" w:space="0" w:color="auto"/>
      </w:divBdr>
      <w:divsChild>
        <w:div w:id="1194688393">
          <w:marLeft w:val="0"/>
          <w:marRight w:val="0"/>
          <w:marTop w:val="0"/>
          <w:marBottom w:val="0"/>
          <w:divBdr>
            <w:top w:val="none" w:sz="0" w:space="0" w:color="auto"/>
            <w:left w:val="none" w:sz="0" w:space="0" w:color="auto"/>
            <w:bottom w:val="none" w:sz="0" w:space="0" w:color="auto"/>
            <w:right w:val="none" w:sz="0" w:space="0" w:color="auto"/>
          </w:divBdr>
        </w:div>
        <w:div w:id="1257861303">
          <w:marLeft w:val="0"/>
          <w:marRight w:val="0"/>
          <w:marTop w:val="0"/>
          <w:marBottom w:val="0"/>
          <w:divBdr>
            <w:top w:val="none" w:sz="0" w:space="0" w:color="auto"/>
            <w:left w:val="none" w:sz="0" w:space="0" w:color="auto"/>
            <w:bottom w:val="none" w:sz="0" w:space="0" w:color="auto"/>
            <w:right w:val="none" w:sz="0" w:space="0" w:color="auto"/>
          </w:divBdr>
        </w:div>
        <w:div w:id="1456754759">
          <w:marLeft w:val="0"/>
          <w:marRight w:val="0"/>
          <w:marTop w:val="0"/>
          <w:marBottom w:val="0"/>
          <w:divBdr>
            <w:top w:val="none" w:sz="0" w:space="0" w:color="auto"/>
            <w:left w:val="none" w:sz="0" w:space="0" w:color="auto"/>
            <w:bottom w:val="none" w:sz="0" w:space="0" w:color="auto"/>
            <w:right w:val="none" w:sz="0" w:space="0" w:color="auto"/>
          </w:divBdr>
        </w:div>
      </w:divsChild>
    </w:div>
    <w:div w:id="1232497843">
      <w:bodyDiv w:val="1"/>
      <w:marLeft w:val="0"/>
      <w:marRight w:val="0"/>
      <w:marTop w:val="0"/>
      <w:marBottom w:val="0"/>
      <w:divBdr>
        <w:top w:val="none" w:sz="0" w:space="0" w:color="auto"/>
        <w:left w:val="none" w:sz="0" w:space="0" w:color="auto"/>
        <w:bottom w:val="none" w:sz="0" w:space="0" w:color="auto"/>
        <w:right w:val="none" w:sz="0" w:space="0" w:color="auto"/>
      </w:divBdr>
      <w:divsChild>
        <w:div w:id="68235903">
          <w:marLeft w:val="0"/>
          <w:marRight w:val="0"/>
          <w:marTop w:val="0"/>
          <w:marBottom w:val="0"/>
          <w:divBdr>
            <w:top w:val="none" w:sz="0" w:space="0" w:color="auto"/>
            <w:left w:val="none" w:sz="0" w:space="0" w:color="auto"/>
            <w:bottom w:val="none" w:sz="0" w:space="0" w:color="auto"/>
            <w:right w:val="none" w:sz="0" w:space="0" w:color="auto"/>
          </w:divBdr>
        </w:div>
      </w:divsChild>
    </w:div>
    <w:div w:id="1316880722">
      <w:bodyDiv w:val="1"/>
      <w:marLeft w:val="0"/>
      <w:marRight w:val="0"/>
      <w:marTop w:val="0"/>
      <w:marBottom w:val="0"/>
      <w:divBdr>
        <w:top w:val="none" w:sz="0" w:space="0" w:color="auto"/>
        <w:left w:val="none" w:sz="0" w:space="0" w:color="auto"/>
        <w:bottom w:val="none" w:sz="0" w:space="0" w:color="auto"/>
        <w:right w:val="none" w:sz="0" w:space="0" w:color="auto"/>
      </w:divBdr>
      <w:divsChild>
        <w:div w:id="7997856">
          <w:marLeft w:val="0"/>
          <w:marRight w:val="0"/>
          <w:marTop w:val="0"/>
          <w:marBottom w:val="0"/>
          <w:divBdr>
            <w:top w:val="none" w:sz="0" w:space="0" w:color="auto"/>
            <w:left w:val="none" w:sz="0" w:space="0" w:color="auto"/>
            <w:bottom w:val="none" w:sz="0" w:space="0" w:color="auto"/>
            <w:right w:val="none" w:sz="0" w:space="0" w:color="auto"/>
          </w:divBdr>
        </w:div>
        <w:div w:id="1212301026">
          <w:marLeft w:val="0"/>
          <w:marRight w:val="0"/>
          <w:marTop w:val="0"/>
          <w:marBottom w:val="0"/>
          <w:divBdr>
            <w:top w:val="none" w:sz="0" w:space="0" w:color="auto"/>
            <w:left w:val="none" w:sz="0" w:space="0" w:color="auto"/>
            <w:bottom w:val="none" w:sz="0" w:space="0" w:color="auto"/>
            <w:right w:val="none" w:sz="0" w:space="0" w:color="auto"/>
          </w:divBdr>
        </w:div>
        <w:div w:id="1956251547">
          <w:marLeft w:val="0"/>
          <w:marRight w:val="0"/>
          <w:marTop w:val="0"/>
          <w:marBottom w:val="0"/>
          <w:divBdr>
            <w:top w:val="none" w:sz="0" w:space="0" w:color="auto"/>
            <w:left w:val="none" w:sz="0" w:space="0" w:color="auto"/>
            <w:bottom w:val="none" w:sz="0" w:space="0" w:color="auto"/>
            <w:right w:val="none" w:sz="0" w:space="0" w:color="auto"/>
          </w:divBdr>
        </w:div>
      </w:divsChild>
    </w:div>
    <w:div w:id="1461219653">
      <w:bodyDiv w:val="1"/>
      <w:marLeft w:val="0"/>
      <w:marRight w:val="0"/>
      <w:marTop w:val="0"/>
      <w:marBottom w:val="0"/>
      <w:divBdr>
        <w:top w:val="none" w:sz="0" w:space="0" w:color="auto"/>
        <w:left w:val="none" w:sz="0" w:space="0" w:color="auto"/>
        <w:bottom w:val="none" w:sz="0" w:space="0" w:color="auto"/>
        <w:right w:val="none" w:sz="0" w:space="0" w:color="auto"/>
      </w:divBdr>
      <w:divsChild>
        <w:div w:id="1599941603">
          <w:marLeft w:val="0"/>
          <w:marRight w:val="0"/>
          <w:marTop w:val="0"/>
          <w:marBottom w:val="0"/>
          <w:divBdr>
            <w:top w:val="none" w:sz="0" w:space="0" w:color="auto"/>
            <w:left w:val="none" w:sz="0" w:space="0" w:color="auto"/>
            <w:bottom w:val="none" w:sz="0" w:space="0" w:color="auto"/>
            <w:right w:val="none" w:sz="0" w:space="0" w:color="auto"/>
          </w:divBdr>
        </w:div>
        <w:div w:id="963852114">
          <w:marLeft w:val="0"/>
          <w:marRight w:val="0"/>
          <w:marTop w:val="0"/>
          <w:marBottom w:val="0"/>
          <w:divBdr>
            <w:top w:val="none" w:sz="0" w:space="0" w:color="auto"/>
            <w:left w:val="none" w:sz="0" w:space="0" w:color="auto"/>
            <w:bottom w:val="none" w:sz="0" w:space="0" w:color="auto"/>
            <w:right w:val="none" w:sz="0" w:space="0" w:color="auto"/>
          </w:divBdr>
        </w:div>
      </w:divsChild>
    </w:div>
    <w:div w:id="1979527696">
      <w:bodyDiv w:val="1"/>
      <w:marLeft w:val="0"/>
      <w:marRight w:val="0"/>
      <w:marTop w:val="0"/>
      <w:marBottom w:val="0"/>
      <w:divBdr>
        <w:top w:val="none" w:sz="0" w:space="0" w:color="auto"/>
        <w:left w:val="none" w:sz="0" w:space="0" w:color="auto"/>
        <w:bottom w:val="none" w:sz="0" w:space="0" w:color="auto"/>
        <w:right w:val="none" w:sz="0" w:space="0" w:color="auto"/>
      </w:divBdr>
      <w:divsChild>
        <w:div w:id="556014346">
          <w:marLeft w:val="0"/>
          <w:marRight w:val="0"/>
          <w:marTop w:val="0"/>
          <w:marBottom w:val="0"/>
          <w:divBdr>
            <w:top w:val="none" w:sz="0" w:space="0" w:color="auto"/>
            <w:left w:val="none" w:sz="0" w:space="0" w:color="auto"/>
            <w:bottom w:val="none" w:sz="0" w:space="0" w:color="auto"/>
            <w:right w:val="none" w:sz="0" w:space="0" w:color="auto"/>
          </w:divBdr>
        </w:div>
        <w:div w:id="1480419864">
          <w:marLeft w:val="0"/>
          <w:marRight w:val="0"/>
          <w:marTop w:val="0"/>
          <w:marBottom w:val="0"/>
          <w:divBdr>
            <w:top w:val="none" w:sz="0" w:space="0" w:color="auto"/>
            <w:left w:val="none" w:sz="0" w:space="0" w:color="auto"/>
            <w:bottom w:val="none" w:sz="0" w:space="0" w:color="auto"/>
            <w:right w:val="none" w:sz="0" w:space="0" w:color="auto"/>
          </w:divBdr>
        </w:div>
        <w:div w:id="1300189229">
          <w:marLeft w:val="0"/>
          <w:marRight w:val="0"/>
          <w:marTop w:val="0"/>
          <w:marBottom w:val="0"/>
          <w:divBdr>
            <w:top w:val="none" w:sz="0" w:space="0" w:color="auto"/>
            <w:left w:val="none" w:sz="0" w:space="0" w:color="auto"/>
            <w:bottom w:val="none" w:sz="0" w:space="0" w:color="auto"/>
            <w:right w:val="none" w:sz="0" w:space="0" w:color="auto"/>
          </w:divBdr>
        </w:div>
      </w:divsChild>
    </w:div>
    <w:div w:id="2014525012">
      <w:bodyDiv w:val="1"/>
      <w:marLeft w:val="0"/>
      <w:marRight w:val="0"/>
      <w:marTop w:val="0"/>
      <w:marBottom w:val="0"/>
      <w:divBdr>
        <w:top w:val="none" w:sz="0" w:space="0" w:color="auto"/>
        <w:left w:val="none" w:sz="0" w:space="0" w:color="auto"/>
        <w:bottom w:val="none" w:sz="0" w:space="0" w:color="auto"/>
        <w:right w:val="none" w:sz="0" w:space="0" w:color="auto"/>
      </w:divBdr>
      <w:divsChild>
        <w:div w:id="332030115">
          <w:marLeft w:val="0"/>
          <w:marRight w:val="0"/>
          <w:marTop w:val="0"/>
          <w:marBottom w:val="0"/>
          <w:divBdr>
            <w:top w:val="none" w:sz="0" w:space="0" w:color="auto"/>
            <w:left w:val="none" w:sz="0" w:space="0" w:color="auto"/>
            <w:bottom w:val="none" w:sz="0" w:space="0" w:color="auto"/>
            <w:right w:val="none" w:sz="0" w:space="0" w:color="auto"/>
          </w:divBdr>
        </w:div>
        <w:div w:id="1982268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dst.dk/da/Statistik/nyheder-analyser-publ/nyt/NytHtml?cid=39981" TargetMode="Externa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641</Words>
  <Characters>3913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Lærer PC</dc:creator>
  <cp:keywords/>
  <dc:description/>
  <cp:lastModifiedBy>Lærer PC</cp:lastModifiedBy>
  <cp:revision>3</cp:revision>
  <dcterms:created xsi:type="dcterms:W3CDTF">2023-02-20T15:06:00Z</dcterms:created>
  <dcterms:modified xsi:type="dcterms:W3CDTF">2023-02-20T15:32:00Z</dcterms:modified>
</cp:coreProperties>
</file>