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6FC6" w14:textId="16F7328C" w:rsidR="00A97093" w:rsidRDefault="00285980" w:rsidP="00285980">
      <w:pPr>
        <w:pStyle w:val="Titel"/>
      </w:pPr>
      <w:r>
        <w:t>Statistisk usikkerhed</w:t>
      </w:r>
    </w:p>
    <w:p w14:paraId="245AD0D8" w14:textId="12D71DE5" w:rsidR="00285980" w:rsidRDefault="00285980" w:rsidP="00285980">
      <w:pPr>
        <w:rPr>
          <w:b/>
        </w:rPr>
      </w:pPr>
      <w:r w:rsidRPr="00285980">
        <w:rPr>
          <w:b/>
        </w:rPr>
        <w:t>Opgave 1:</w:t>
      </w:r>
      <w:r w:rsidR="00347510">
        <w:rPr>
          <w:b/>
        </w:rPr>
        <w:t xml:space="preserve"> </w:t>
      </w:r>
    </w:p>
    <w:p w14:paraId="6C69B17D" w14:textId="5D4357A4" w:rsidR="00285980" w:rsidRDefault="00285980" w:rsidP="00285980">
      <w:r>
        <w:t>Tal med din sidemand:</w:t>
      </w:r>
    </w:p>
    <w:p w14:paraId="7B86269C" w14:textId="31685D92" w:rsidR="00285980" w:rsidRDefault="00285980" w:rsidP="00285980">
      <w:pPr>
        <w:pStyle w:val="Listeafsnit"/>
        <w:numPr>
          <w:ilvl w:val="0"/>
          <w:numId w:val="2"/>
        </w:numPr>
      </w:pPr>
      <w:r>
        <w:t>Hvad er statistisk usikkerhed?</w:t>
      </w:r>
    </w:p>
    <w:p w14:paraId="331F82F3" w14:textId="186754BC" w:rsidR="00285980" w:rsidRDefault="00285980" w:rsidP="00285980">
      <w:pPr>
        <w:pStyle w:val="Listeafsnit"/>
        <w:numPr>
          <w:ilvl w:val="0"/>
          <w:numId w:val="2"/>
        </w:numPr>
      </w:pPr>
      <w:r>
        <w:t>Hvordan kan man se den statistiske usikkerhed i nedenstående figur 1?</w:t>
      </w:r>
    </w:p>
    <w:p w14:paraId="487F7D7F" w14:textId="0ED50F13" w:rsidR="00285980" w:rsidRPr="00285980" w:rsidRDefault="000D4495" w:rsidP="00285980">
      <w:pPr>
        <w:rPr>
          <w:b/>
        </w:rPr>
      </w:pPr>
      <w:r w:rsidRPr="00285980">
        <w:rPr>
          <w:noProof/>
        </w:rPr>
        <w:drawing>
          <wp:anchor distT="0" distB="0" distL="114300" distR="114300" simplePos="0" relativeHeight="251658240" behindDoc="0" locked="0" layoutInCell="1" allowOverlap="1" wp14:anchorId="70510722" wp14:editId="51D5BCBD">
            <wp:simplePos x="0" y="0"/>
            <wp:positionH relativeFrom="column">
              <wp:posOffset>-3810</wp:posOffset>
            </wp:positionH>
            <wp:positionV relativeFrom="paragraph">
              <wp:posOffset>289560</wp:posOffset>
            </wp:positionV>
            <wp:extent cx="6120130" cy="1783080"/>
            <wp:effectExtent l="0" t="0" r="0" b="762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5980" w:rsidRPr="00285980">
        <w:rPr>
          <w:b/>
        </w:rPr>
        <w:t xml:space="preserve">Figur 1: </w:t>
      </w:r>
      <w:r w:rsidR="00285980" w:rsidRPr="00285980">
        <w:t>Meningsmålinger i Ohio</w:t>
      </w:r>
      <w:r w:rsidR="00285980">
        <w:t xml:space="preserve"> 2024.</w:t>
      </w:r>
    </w:p>
    <w:p w14:paraId="26DF409A" w14:textId="77777777" w:rsidR="00285980" w:rsidRDefault="00285980" w:rsidP="00285980"/>
    <w:p w14:paraId="2A64E111" w14:textId="2C5016A2" w:rsidR="00285980" w:rsidRDefault="00285980" w:rsidP="00285980">
      <w:pPr>
        <w:rPr>
          <w:b/>
        </w:rPr>
      </w:pPr>
      <w:r w:rsidRPr="00285980">
        <w:rPr>
          <w:b/>
        </w:rPr>
        <w:t>Opgave 2: (Beregning)</w:t>
      </w:r>
    </w:p>
    <w:p w14:paraId="2DD21050" w14:textId="77777777" w:rsidR="000D4495" w:rsidRPr="000D4495" w:rsidRDefault="000D4495" w:rsidP="000D4495">
      <w:pPr>
        <w:rPr>
          <w:b/>
        </w:rPr>
      </w:pPr>
      <w:r>
        <w:rPr>
          <w:b/>
        </w:rPr>
        <w:t>Beregn den statistiske usikkerhed ved meningsmålingen fra 2. okt. 2024 som det fremgår af tabel 1.</w:t>
      </w:r>
    </w:p>
    <w:p w14:paraId="4D82D1B4" w14:textId="4E60EB09" w:rsidR="00285980" w:rsidRDefault="00285980" w:rsidP="00285980">
      <w:r>
        <w:t>Til den skriftlige eksamen skal i kunne beregne den statistiske usikkerhed, hvilket heldigvis er nemt.</w:t>
      </w:r>
    </w:p>
    <w:p w14:paraId="77258BE3" w14:textId="011A8F8B" w:rsidR="00285980" w:rsidRDefault="00475D94" w:rsidP="00285980">
      <w:r>
        <w:t xml:space="preserve">Ovenfor så I på </w:t>
      </w:r>
      <w:r w:rsidR="00285980">
        <w:t>statistisk usikkerhed ved det amerikanske valg. Til eksamen kan der lige så godt være tale om statistisk usikkerhed ved danske meningsmålinger.</w:t>
      </w:r>
    </w:p>
    <w:p w14:paraId="36912495" w14:textId="41B3FE19" w:rsidR="00285980" w:rsidRDefault="00285980" w:rsidP="00285980">
      <w:r>
        <w:t>Derfor træner vi beregning af statistisk usikkerhed på dansk meningsmåling.</w:t>
      </w:r>
    </w:p>
    <w:p w14:paraId="332BB91F" w14:textId="77777777" w:rsidR="00285980" w:rsidRDefault="00285980" w:rsidP="00285980">
      <w:pPr>
        <w:spacing w:after="0"/>
        <w:rPr>
          <w:b/>
          <w:bCs/>
        </w:rPr>
      </w:pPr>
      <w:r>
        <w:rPr>
          <w:b/>
          <w:bCs/>
        </w:rPr>
        <w:t xml:space="preserve">Tabel 1: Valgresultat og </w:t>
      </w:r>
      <w:proofErr w:type="spellStart"/>
      <w:r>
        <w:rPr>
          <w:b/>
          <w:bCs/>
        </w:rPr>
        <w:t>Epinionmåling</w:t>
      </w:r>
      <w:proofErr w:type="spellEnd"/>
      <w:r>
        <w:rPr>
          <w:b/>
          <w:bCs/>
        </w:rPr>
        <w:t xml:space="preserve"> den 2. oktober 2024. Procent.</w:t>
      </w:r>
    </w:p>
    <w:tbl>
      <w:tblPr>
        <w:tblStyle w:val="Almindeligtabel1"/>
        <w:tblW w:w="9628" w:type="dxa"/>
        <w:tblInd w:w="0" w:type="dxa"/>
        <w:tblLook w:val="04A0" w:firstRow="1" w:lastRow="0" w:firstColumn="1" w:lastColumn="0" w:noHBand="0" w:noVBand="1"/>
      </w:tblPr>
      <w:tblGrid>
        <w:gridCol w:w="960"/>
        <w:gridCol w:w="2400"/>
        <w:gridCol w:w="1323"/>
        <w:gridCol w:w="1620"/>
        <w:gridCol w:w="1960"/>
        <w:gridCol w:w="1365"/>
      </w:tblGrid>
      <w:tr w:rsidR="000D4495" w14:paraId="5C729911" w14:textId="2E327EBA" w:rsidTr="000D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F699B73" w14:textId="77777777" w:rsidR="000D4495" w:rsidRDefault="000D44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Liste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17D65AB" w14:textId="77777777" w:rsidR="000D4495" w:rsidRDefault="000D4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Parti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497B1DC" w14:textId="77777777" w:rsidR="000D4495" w:rsidRDefault="000D4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Valgresultat</w:t>
            </w:r>
          </w:p>
          <w:p w14:paraId="42B21143" w14:textId="698EF4BE" w:rsidR="000D4495" w:rsidRDefault="000D4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D3F47" w14:textId="77777777" w:rsidR="000D4495" w:rsidRDefault="000D4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Meningsmåling</w:t>
            </w:r>
          </w:p>
          <w:p w14:paraId="444CFD66" w14:textId="35A4A54D" w:rsidR="000D4495" w:rsidRDefault="000D4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2. okt. 2024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8A210FD" w14:textId="100B5915" w:rsidR="000D4495" w:rsidRDefault="000D4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Ændring siden 2022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474EB" w14:textId="0FB46E52" w:rsidR="000D4495" w:rsidRDefault="000D4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Statistisk usikkerhed</w:t>
            </w:r>
          </w:p>
        </w:tc>
      </w:tr>
      <w:tr w:rsidR="000D4495" w14:paraId="3090C0F7" w14:textId="117642ED" w:rsidTr="000D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367153E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A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4A6ACDD" w14:textId="77777777" w:rsidR="000D4495" w:rsidRDefault="000D4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Socialdemokratiet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425CBF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27,5%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ECE9A5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19,9%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8CC4C1C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-7,6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232A0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4495" w14:paraId="3A02D3F9" w14:textId="668CE443" w:rsidTr="000D4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C4781B2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E476BD3" w14:textId="77777777" w:rsidR="000D4495" w:rsidRDefault="000D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SF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5002F2E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8,3%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1ED405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14,8%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0B8BBA1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6,5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DCAC3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495" w14:paraId="44808F78" w14:textId="7FF879C5" w:rsidTr="000D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98AD20C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I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DA8E0FC" w14:textId="77777777" w:rsidR="000D4495" w:rsidRDefault="000D4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Liberal Alliance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2CC2074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7,9%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05D42F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13,0%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6AA0B4F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5,1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48016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4495" w14:paraId="4F050A9D" w14:textId="7C92C034" w:rsidTr="000D4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30CCA29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V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CB43905" w14:textId="77777777" w:rsidR="000D4495" w:rsidRDefault="000D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Venstre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8FC6283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13,3%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5C126E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10,4%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83BF3CF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-2,9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4809B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495" w14:paraId="55C33DC5" w14:textId="6D267B92" w:rsidTr="000D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F750EA4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Æ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8BF68BF" w14:textId="77777777" w:rsidR="000D4495" w:rsidRDefault="000D4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Danmarksdemokraterne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2221F96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8,1%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2279CF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9,9%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FA7DC82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1,8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F71E4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4495" w14:paraId="63062C1C" w14:textId="00A140BA" w:rsidTr="000D4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E25808A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Ø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FC0FD08" w14:textId="77777777" w:rsidR="000D4495" w:rsidRDefault="000D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Enhedslisten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9B80002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5,2%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E54057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FE22DDC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2,5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CCDA7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495" w14:paraId="203C7859" w14:textId="48AA4E58" w:rsidTr="000D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ED70A2E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C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AAE8904" w14:textId="77777777" w:rsidR="000D4495" w:rsidRDefault="000D4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Konservative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4CB0D22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5,5%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C3B168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6,5%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A79DDBD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1,00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C60A2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4495" w14:paraId="41C7079D" w14:textId="4C63F873" w:rsidTr="000D4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AE1BC42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O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1000638" w14:textId="77777777" w:rsidR="000D4495" w:rsidRDefault="000D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Dansk Folkeparti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8FB6ECF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2,6%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D6B439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5,7%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7CCAAF3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3,1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F2633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495" w14:paraId="00700445" w14:textId="3BA944E0" w:rsidTr="000D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7BFBFD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B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E7EC63E" w14:textId="77777777" w:rsidR="000D4495" w:rsidRDefault="000D4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Radikale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0880E3E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3,8%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973293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7BE0E8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0,4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410C0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4495" w14:paraId="549884F6" w14:textId="67C38B9C" w:rsidTr="000D44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4607254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M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30EE13F" w14:textId="77777777" w:rsidR="000D4495" w:rsidRDefault="000D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Moderaterne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CE4264C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9,3%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9E077A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491B34E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-5,3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FD529" w14:textId="77777777" w:rsidR="000D4495" w:rsidRDefault="000D44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495" w14:paraId="55710CDE" w14:textId="6731588A" w:rsidTr="000D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A31B219" w14:textId="77777777" w:rsidR="000D4495" w:rsidRDefault="000D4495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Å</w:t>
            </w: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F8A5607" w14:textId="77777777" w:rsidR="000D4495" w:rsidRDefault="000D4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Alternativet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132894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3,3%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088E08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2,2%</w:t>
            </w:r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63DA1B3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t>-1,1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E8D62" w14:textId="77777777" w:rsidR="000D4495" w:rsidRDefault="000D44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078D5E" w14:textId="77777777" w:rsidR="00285980" w:rsidRDefault="00285980" w:rsidP="00285980">
      <w:pPr>
        <w:spacing w:after="0"/>
        <w:rPr>
          <w:kern w:val="2"/>
          <w14:ligatures w14:val="standardContextual"/>
        </w:rPr>
      </w:pPr>
      <w:r>
        <w:t xml:space="preserve">Kilde: </w:t>
      </w:r>
      <w:hyperlink r:id="rId9" w:history="1">
        <w:r>
          <w:rPr>
            <w:rStyle w:val="Hyperlink"/>
          </w:rPr>
          <w:t>https://www.dr.dk/nyheder/politik/meningsmaalinger</w:t>
        </w:r>
      </w:hyperlink>
      <w:r>
        <w:t xml:space="preserve"> </w:t>
      </w:r>
    </w:p>
    <w:p w14:paraId="6443DEBB" w14:textId="77777777" w:rsidR="000D4495" w:rsidRDefault="00285980" w:rsidP="000D4495">
      <w:pPr>
        <w:spacing w:after="0"/>
        <w:rPr>
          <w:lang w:val="nb-NO"/>
        </w:rPr>
      </w:pPr>
      <w:r>
        <w:rPr>
          <w:lang w:val="nb-NO"/>
        </w:rPr>
        <w:t>Note: Epinions måling bygger på en stikprøve på 1614 respondenter</w:t>
      </w:r>
    </w:p>
    <w:p w14:paraId="00A5EA99" w14:textId="77777777" w:rsidR="000D4495" w:rsidRDefault="000D4495">
      <w:pPr>
        <w:rPr>
          <w:lang w:val="nb-NO"/>
        </w:rPr>
      </w:pPr>
      <w:r>
        <w:rPr>
          <w:lang w:val="nb-NO"/>
        </w:rPr>
        <w:br w:type="page"/>
      </w:r>
    </w:p>
    <w:p w14:paraId="0FBB32B8" w14:textId="1AC48819" w:rsidR="000D4495" w:rsidRDefault="000D4495" w:rsidP="000D4495">
      <w:pPr>
        <w:spacing w:after="0"/>
        <w:rPr>
          <w:b/>
        </w:rPr>
      </w:pPr>
      <w:r>
        <w:rPr>
          <w:b/>
        </w:rPr>
        <w:lastRenderedPageBreak/>
        <w:t>Hvordan laves beregning af statistisk usikkerhed:</w:t>
      </w:r>
    </w:p>
    <w:p w14:paraId="14520826" w14:textId="7346B9E6" w:rsidR="000D4495" w:rsidRDefault="000D4495" w:rsidP="00285980">
      <w:r>
        <w:t xml:space="preserve">Brug </w:t>
      </w:r>
      <w:proofErr w:type="spellStart"/>
      <w:r>
        <w:t>Excelarket</w:t>
      </w:r>
      <w:proofErr w:type="spellEnd"/>
      <w:r>
        <w:t xml:space="preserve"> ”Regnemaskine til statistisk usikkerhed”. Ligger på Lectio.</w:t>
      </w:r>
    </w:p>
    <w:p w14:paraId="7B56B260" w14:textId="5601F09B" w:rsidR="000D4495" w:rsidRDefault="000D4495" w:rsidP="00285980">
      <w:r>
        <w:t>Denne er selvforklarende. Gem din i dine noter, så du kan bruge den til eksamen.</w:t>
      </w:r>
    </w:p>
    <w:p w14:paraId="23785E73" w14:textId="5BCC2A15" w:rsidR="000D4495" w:rsidRDefault="000D4495" w:rsidP="00285980"/>
    <w:p w14:paraId="759ED94E" w14:textId="5F58981E" w:rsidR="000D4495" w:rsidRDefault="000D4495" w:rsidP="00285980">
      <w:r w:rsidRPr="000D4495">
        <w:rPr>
          <w:b/>
        </w:rPr>
        <w:t xml:space="preserve">Hvis du vil vide mere </w:t>
      </w:r>
      <w:r>
        <w:rPr>
          <w:b/>
        </w:rPr>
        <w:t xml:space="preserve">om beregning af statistisk usikkerhed </w:t>
      </w:r>
      <w:r w:rsidRPr="000D4495">
        <w:rPr>
          <w:b/>
        </w:rPr>
        <w:t>(Fr</w:t>
      </w:r>
      <w:r>
        <w:rPr>
          <w:b/>
        </w:rPr>
        <w:t>a</w:t>
      </w:r>
      <w:r w:rsidRPr="000D4495">
        <w:rPr>
          <w:b/>
        </w:rPr>
        <w:t xml:space="preserve"> ”Knæk Koden”):</w:t>
      </w:r>
    </w:p>
    <w:p w14:paraId="239FB6E3" w14:textId="6A5625E9" w:rsidR="000D4495" w:rsidRDefault="000D4495" w:rsidP="000D4495">
      <w:pPr>
        <w:jc w:val="center"/>
      </w:pPr>
      <w:r w:rsidRPr="000D4495">
        <w:rPr>
          <w:noProof/>
        </w:rPr>
        <w:drawing>
          <wp:inline distT="0" distB="0" distL="0" distR="0" wp14:anchorId="05F959C1" wp14:editId="79BCE98C">
            <wp:extent cx="5416095" cy="5393055"/>
            <wp:effectExtent l="171450" t="171450" r="165735" b="16954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6190" cy="54031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AEBA95A" w14:textId="384467F3" w:rsidR="000D4495" w:rsidRDefault="000D4495" w:rsidP="00285980">
      <w:pPr>
        <w:rPr>
          <w:b/>
        </w:rPr>
      </w:pPr>
      <w:r w:rsidRPr="000D4495">
        <w:rPr>
          <w:b/>
        </w:rPr>
        <w:t>Ekstraopgave til de hurtige:</w:t>
      </w:r>
    </w:p>
    <w:p w14:paraId="3354A706" w14:textId="27401C54" w:rsidR="000D4495" w:rsidRDefault="000D4495" w:rsidP="00285980">
      <w:r>
        <w:t>Se video om statisk usikkerhed på:</w:t>
      </w:r>
    </w:p>
    <w:p w14:paraId="5B4AA7E4" w14:textId="7A4EF2EA" w:rsidR="000D4495" w:rsidRPr="000D4495" w:rsidRDefault="000D4495" w:rsidP="00285980">
      <w:hyperlink r:id="rId11" w:history="1">
        <w:r w:rsidRPr="008038A6">
          <w:rPr>
            <w:rStyle w:val="Hyperlink"/>
          </w:rPr>
          <w:t>https://www.youtube.com/watch?v=In9Pqm9YlIo</w:t>
        </w:r>
      </w:hyperlink>
    </w:p>
    <w:sectPr w:rsidR="000D4495" w:rsidRPr="000D4495" w:rsidSect="000D449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D6C54"/>
    <w:multiLevelType w:val="hybridMultilevel"/>
    <w:tmpl w:val="3B708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33DF5"/>
    <w:multiLevelType w:val="hybridMultilevel"/>
    <w:tmpl w:val="37681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93075">
    <w:abstractNumId w:val="0"/>
  </w:num>
  <w:num w:numId="2" w16cid:durableId="102263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93"/>
    <w:rsid w:val="000D4495"/>
    <w:rsid w:val="00122745"/>
    <w:rsid w:val="00285980"/>
    <w:rsid w:val="00347510"/>
    <w:rsid w:val="00475D94"/>
    <w:rsid w:val="00A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35CD"/>
  <w15:chartTrackingRefBased/>
  <w15:docId w15:val="{4E44F223-0565-48EB-8ECE-E41E894F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859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28598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5980"/>
    <w:rPr>
      <w:color w:val="0563C1" w:themeColor="hyperlink"/>
      <w:u w:val="single"/>
    </w:rPr>
  </w:style>
  <w:style w:type="table" w:styleId="Almindeligtabel1">
    <w:name w:val="Plain Table 1"/>
    <w:basedOn w:val="Tabel-Normal"/>
    <w:uiPriority w:val="41"/>
    <w:rsid w:val="0028598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0D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n9Pqm9YlIo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dr.dk/nyheder/politik/meningsmaaling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342ED-5672-407B-8B03-6625726DD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9B837-1621-488E-A353-88835A7863D3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3.xml><?xml version="1.0" encoding="utf-8"?>
<ds:datastoreItem xmlns:ds="http://schemas.openxmlformats.org/officeDocument/2006/customXml" ds:itemID="{8D400FAF-3749-4AA7-9BCB-1F148F612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Ørum Wikman</dc:creator>
  <cp:keywords/>
  <dc:description/>
  <cp:lastModifiedBy>Mads Malthe Rifbjerg Søvndal MRS</cp:lastModifiedBy>
  <cp:revision>4</cp:revision>
  <dcterms:created xsi:type="dcterms:W3CDTF">2024-11-06T08:12:00Z</dcterms:created>
  <dcterms:modified xsi:type="dcterms:W3CDTF">2025-03-04T12:03:00Z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