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29C8" w14:textId="3C9538B3" w:rsidR="005270BA" w:rsidRDefault="00E75BBE" w:rsidP="00E75BBE">
      <w:pPr>
        <w:pStyle w:val="Overskrift1"/>
      </w:pPr>
      <w:r w:rsidRPr="00E75BBE">
        <w:t>Acetylsalicylsyre – syntese, oprensning og renhedsvurdering</w:t>
      </w:r>
    </w:p>
    <w:p w14:paraId="49A79E70" w14:textId="435E3EFF" w:rsidR="00E75BBE" w:rsidRDefault="008C612E" w:rsidP="00E75BBE">
      <w:r w:rsidRPr="00E75BBE">
        <w:rPr>
          <w:noProof/>
        </w:rPr>
        <w:drawing>
          <wp:anchor distT="0" distB="0" distL="114300" distR="114300" simplePos="0" relativeHeight="251658240" behindDoc="0" locked="0" layoutInCell="1" allowOverlap="1" wp14:anchorId="32D89881" wp14:editId="0DD27E8F">
            <wp:simplePos x="0" y="0"/>
            <wp:positionH relativeFrom="column">
              <wp:posOffset>5250898</wp:posOffset>
            </wp:positionH>
            <wp:positionV relativeFrom="paragraph">
              <wp:posOffset>116094</wp:posOffset>
            </wp:positionV>
            <wp:extent cx="1303655" cy="1251585"/>
            <wp:effectExtent l="0" t="0" r="0" b="5715"/>
            <wp:wrapSquare wrapText="bothSides"/>
            <wp:docPr id="828745214" name="Billede 1" descr="Et billede, der indeholder Lægemiddel, lægemiddel/medikament/narko, medicin, pil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45214" name="Billede 1" descr="Et billede, der indeholder Lægemiddel, lægemiddel/medikament/narko, medicin, pill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303655" cy="1251585"/>
                    </a:xfrm>
                    <a:prstGeom prst="rect">
                      <a:avLst/>
                    </a:prstGeom>
                  </pic:spPr>
                </pic:pic>
              </a:graphicData>
            </a:graphic>
          </wp:anchor>
        </w:drawing>
      </w:r>
    </w:p>
    <w:p w14:paraId="3BB9820C" w14:textId="68D80C56" w:rsidR="00E75BBE" w:rsidRDefault="00E75BBE" w:rsidP="008C612E">
      <w:pPr>
        <w:spacing w:line="276" w:lineRule="auto"/>
      </w:pPr>
      <w:r w:rsidRPr="00E75BBE">
        <w:t xml:space="preserve">Acetylsalicylsyre er det aktive stof i lægemidler som Aspirin, Kodigmagnyl og Treo og er det mest anvendte lægemiddel i verden, se figur 1. </w:t>
      </w:r>
    </w:p>
    <w:p w14:paraId="48ADB42B" w14:textId="77777777" w:rsidR="00F120CF" w:rsidRDefault="00F120CF" w:rsidP="00E75BBE"/>
    <w:p w14:paraId="329F8B95" w14:textId="16ADC8EB" w:rsidR="00E75BBE" w:rsidRDefault="00E75BBE" w:rsidP="00E75BBE">
      <w:r w:rsidRPr="00E75BBE">
        <w:t>Acetylsalicylsyre fremstilles ud fra salicylsyre og ethansyreanhydrid:</w:t>
      </w:r>
    </w:p>
    <w:p w14:paraId="69C1C359" w14:textId="318447F9" w:rsidR="00E75BBE" w:rsidRDefault="00E75BBE" w:rsidP="00E75BBE">
      <w:r w:rsidRPr="00E75BBE">
        <w:rPr>
          <w:noProof/>
        </w:rPr>
        <w:drawing>
          <wp:anchor distT="0" distB="0" distL="114300" distR="114300" simplePos="0" relativeHeight="251658241" behindDoc="1" locked="0" layoutInCell="1" allowOverlap="1" wp14:anchorId="04C8858D" wp14:editId="71357579">
            <wp:simplePos x="0" y="0"/>
            <wp:positionH relativeFrom="column">
              <wp:posOffset>28379</wp:posOffset>
            </wp:positionH>
            <wp:positionV relativeFrom="paragraph">
              <wp:posOffset>123908</wp:posOffset>
            </wp:positionV>
            <wp:extent cx="5653156" cy="1390374"/>
            <wp:effectExtent l="0" t="0" r="5080" b="635"/>
            <wp:wrapNone/>
            <wp:docPr id="1105849624" name="Billede 1" descr="Et billede, der indeholder tekst, skitse, diagram,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49624" name="Billede 1" descr="Et billede, der indeholder tekst, skitse, diagram, linje/række&#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5653156" cy="1390374"/>
                    </a:xfrm>
                    <a:prstGeom prst="rect">
                      <a:avLst/>
                    </a:prstGeom>
                  </pic:spPr>
                </pic:pic>
              </a:graphicData>
            </a:graphic>
            <wp14:sizeRelH relativeFrom="margin">
              <wp14:pctWidth>0</wp14:pctWidth>
            </wp14:sizeRelH>
            <wp14:sizeRelV relativeFrom="margin">
              <wp14:pctHeight>0</wp14:pctHeight>
            </wp14:sizeRelV>
          </wp:anchor>
        </w:drawing>
      </w:r>
    </w:p>
    <w:p w14:paraId="6AE6C81C" w14:textId="790243CC" w:rsidR="00E75BBE" w:rsidRDefault="00E75BBE" w:rsidP="00E75BBE"/>
    <w:p w14:paraId="04262348" w14:textId="0CFFF3D8" w:rsidR="00E75BBE" w:rsidRDefault="00E75BBE" w:rsidP="00E75BBE"/>
    <w:p w14:paraId="768B1671" w14:textId="2985C480" w:rsidR="00E75BBE" w:rsidRDefault="00E75BBE" w:rsidP="00E75BBE"/>
    <w:p w14:paraId="7AE69161" w14:textId="2A5C49B4" w:rsidR="00E75BBE" w:rsidRDefault="00E75BBE" w:rsidP="00E75BBE"/>
    <w:p w14:paraId="6D369FEC" w14:textId="77777777" w:rsidR="00E75BBE" w:rsidRDefault="00E75BBE" w:rsidP="00E75BBE"/>
    <w:p w14:paraId="6E1FF6B7" w14:textId="77777777" w:rsidR="00E75BBE" w:rsidRDefault="00E75BBE" w:rsidP="00E75BBE"/>
    <w:p w14:paraId="0DD483F4" w14:textId="77777777" w:rsidR="00E75BBE" w:rsidRDefault="00E75BBE" w:rsidP="00E75BBE"/>
    <w:p w14:paraId="4C16633F" w14:textId="77777777" w:rsidR="00E75BBE" w:rsidRDefault="00E75BBE" w:rsidP="00E75BBE"/>
    <w:p w14:paraId="250E144A" w14:textId="77777777" w:rsidR="00E75BBE" w:rsidRDefault="00E75BBE" w:rsidP="00E75BBE"/>
    <w:p w14:paraId="68975706" w14:textId="477DC87C" w:rsidR="00E75BBE" w:rsidRDefault="00E75BBE" w:rsidP="008C612E">
      <w:pPr>
        <w:spacing w:line="276" w:lineRule="auto"/>
      </w:pPr>
      <w:r w:rsidRPr="00E75BBE">
        <w:t>Reaktionen katalyseres af svovlsyre. Det er vigtigt at der ikke er vand til stede, da det kan sænke udbyttet af acetylsalicylsyre.</w:t>
      </w:r>
    </w:p>
    <w:p w14:paraId="59153494" w14:textId="77777777" w:rsidR="00E75BBE" w:rsidRDefault="00E75BBE" w:rsidP="008C612E">
      <w:pPr>
        <w:spacing w:line="276" w:lineRule="auto"/>
      </w:pPr>
    </w:p>
    <w:p w14:paraId="616D269A" w14:textId="5ECF09C8" w:rsidR="000C1456" w:rsidRPr="00B22157" w:rsidRDefault="00E75BBE" w:rsidP="000C1456">
      <w:pPr>
        <w:spacing w:line="276" w:lineRule="auto"/>
        <w:rPr>
          <w:strike/>
        </w:rPr>
      </w:pPr>
      <w:r w:rsidRPr="00E75BBE">
        <w:t>Det fremstillede produkt oprenses ved en omkrystallisation, og renheden vurderes ved en TLC-analyse</w:t>
      </w:r>
      <w:r w:rsidR="006D72E1">
        <w:t>.</w:t>
      </w:r>
      <w:r w:rsidR="000C1456">
        <w:t xml:space="preserve"> Der foretages også </w:t>
      </w:r>
      <w:r w:rsidR="00E94901">
        <w:t>smelte</w:t>
      </w:r>
      <w:r w:rsidR="00665352">
        <w:t>punktsbestemmelse</w:t>
      </w:r>
      <w:r w:rsidR="00004401">
        <w:t>.</w:t>
      </w:r>
    </w:p>
    <w:p w14:paraId="2A07FC98" w14:textId="77777777" w:rsidR="00E75BBE" w:rsidRDefault="00E75BBE" w:rsidP="00623144">
      <w:pPr>
        <w:spacing w:line="276" w:lineRule="auto"/>
      </w:pPr>
    </w:p>
    <w:p w14:paraId="7C6B7E78" w14:textId="2BC3022E" w:rsidR="00E75BBE" w:rsidRDefault="00E75BBE" w:rsidP="003A5954">
      <w:pPr>
        <w:pStyle w:val="Overskrift2"/>
        <w:spacing w:line="276" w:lineRule="auto"/>
      </w:pPr>
      <w:r w:rsidRPr="00E75BBE">
        <w:t xml:space="preserve">Forberedelse til eksperimentet </w:t>
      </w:r>
    </w:p>
    <w:p w14:paraId="6D81BCEF" w14:textId="77777777" w:rsidR="00E75BBE" w:rsidRDefault="00E75BBE" w:rsidP="003A5954">
      <w:pPr>
        <w:pStyle w:val="Listeafsnit"/>
        <w:numPr>
          <w:ilvl w:val="0"/>
          <w:numId w:val="1"/>
        </w:numPr>
        <w:spacing w:line="276" w:lineRule="auto"/>
      </w:pPr>
      <w:r w:rsidRPr="00E75BBE">
        <w:t xml:space="preserve">Angiv reaktionstypen for syntesen af acetylsalicylsyre. </w:t>
      </w:r>
    </w:p>
    <w:p w14:paraId="64D2DC94" w14:textId="77777777" w:rsidR="00E75BBE" w:rsidRDefault="00E75BBE" w:rsidP="003A5954">
      <w:pPr>
        <w:pStyle w:val="Listeafsnit"/>
        <w:numPr>
          <w:ilvl w:val="0"/>
          <w:numId w:val="1"/>
        </w:numPr>
        <w:spacing w:line="276" w:lineRule="auto"/>
      </w:pPr>
      <w:r w:rsidRPr="00E75BBE">
        <w:t xml:space="preserve">Markér funktionelle grupper i salicylsyre og acetylsalicylsyre og angiv tilhørende stofklasser. </w:t>
      </w:r>
    </w:p>
    <w:p w14:paraId="45095C88" w14:textId="5128B5EF" w:rsidR="00A861CC" w:rsidRDefault="00A861CC" w:rsidP="003A5954">
      <w:pPr>
        <w:pStyle w:val="Listeafsnit"/>
        <w:numPr>
          <w:ilvl w:val="0"/>
          <w:numId w:val="1"/>
        </w:numPr>
        <w:spacing w:line="276" w:lineRule="auto"/>
      </w:pPr>
      <w:r>
        <w:t xml:space="preserve">Hvilket molekyle indeholder en </w:t>
      </w:r>
      <w:proofErr w:type="spellStart"/>
      <w:r>
        <w:t>phenol</w:t>
      </w:r>
      <w:proofErr w:type="spellEnd"/>
      <w:r>
        <w:t>?</w:t>
      </w:r>
    </w:p>
    <w:p w14:paraId="53C199FD" w14:textId="77777777" w:rsidR="00E75BBE" w:rsidRDefault="00E75BBE" w:rsidP="003A5954">
      <w:pPr>
        <w:pStyle w:val="Listeafsnit"/>
        <w:numPr>
          <w:ilvl w:val="0"/>
          <w:numId w:val="1"/>
        </w:numPr>
        <w:spacing w:line="276" w:lineRule="auto"/>
      </w:pPr>
      <w:r w:rsidRPr="00E75BBE">
        <w:t xml:space="preserve">Forklar hvorfor der anvendes ethansyreanhydrid fremfor ethansyre i syntesen. </w:t>
      </w:r>
    </w:p>
    <w:p w14:paraId="6353EBC2" w14:textId="77777777" w:rsidR="00E75BBE" w:rsidRDefault="00E75BBE" w:rsidP="003A5954">
      <w:pPr>
        <w:pStyle w:val="Listeafsnit"/>
        <w:numPr>
          <w:ilvl w:val="0"/>
          <w:numId w:val="1"/>
        </w:numPr>
        <w:spacing w:line="276" w:lineRule="auto"/>
      </w:pPr>
      <w:r w:rsidRPr="00E75BBE">
        <w:t xml:space="preserve">Forklar hvorfor det er vigtigt at der arbejdes vandfrit. </w:t>
      </w:r>
    </w:p>
    <w:p w14:paraId="54FFEA85" w14:textId="77777777" w:rsidR="00E75BBE" w:rsidRDefault="00E75BBE" w:rsidP="003A5954">
      <w:pPr>
        <w:pStyle w:val="Listeafsnit"/>
        <w:numPr>
          <w:ilvl w:val="0"/>
          <w:numId w:val="1"/>
        </w:numPr>
        <w:spacing w:line="276" w:lineRule="auto"/>
      </w:pPr>
      <w:r w:rsidRPr="00E75BBE">
        <w:t xml:space="preserve">Forklar hvorfor svovlsyre virker som en katalysator i syntesen. </w:t>
      </w:r>
    </w:p>
    <w:p w14:paraId="4914DAFF" w14:textId="77777777" w:rsidR="00E75BBE" w:rsidRDefault="00E75BBE" w:rsidP="003A5954">
      <w:pPr>
        <w:pStyle w:val="Listeafsnit"/>
        <w:numPr>
          <w:ilvl w:val="0"/>
          <w:numId w:val="1"/>
        </w:numPr>
        <w:spacing w:line="276" w:lineRule="auto"/>
      </w:pPr>
      <w:r w:rsidRPr="00E75BBE">
        <w:t xml:space="preserve">Redegør for princippet i en omkrystallisation. </w:t>
      </w:r>
    </w:p>
    <w:p w14:paraId="254F42A3" w14:textId="1F77917B" w:rsidR="00E75BBE" w:rsidRDefault="00E75BBE" w:rsidP="003A5954">
      <w:pPr>
        <w:pStyle w:val="Listeafsnit"/>
        <w:numPr>
          <w:ilvl w:val="0"/>
          <w:numId w:val="1"/>
        </w:numPr>
        <w:spacing w:line="276" w:lineRule="auto"/>
      </w:pPr>
      <w:r w:rsidRPr="00E75BBE">
        <w:t>Redegør for princippet i en TLC-analyse.</w:t>
      </w:r>
    </w:p>
    <w:p w14:paraId="12CA578C" w14:textId="77777777" w:rsidR="00F84C0F" w:rsidRDefault="00F84C0F" w:rsidP="00F84C0F"/>
    <w:p w14:paraId="70964C23" w14:textId="77777777" w:rsidR="00141F49" w:rsidRDefault="00141F49" w:rsidP="00141F49">
      <w:pPr>
        <w:pStyle w:val="Overskrift2"/>
      </w:pPr>
      <w:r w:rsidRPr="00141F49">
        <w:t xml:space="preserve">Materialer </w:t>
      </w:r>
    </w:p>
    <w:p w14:paraId="6CAD3AFE" w14:textId="77777777" w:rsidR="00233C86" w:rsidRDefault="00233C86" w:rsidP="008C612E">
      <w:pPr>
        <w:spacing w:after="240"/>
        <w:rPr>
          <w:b/>
          <w:bCs/>
        </w:rPr>
        <w:sectPr w:rsidR="00233C86" w:rsidSect="008A4F9E">
          <w:pgSz w:w="11906" w:h="16838"/>
          <w:pgMar w:top="720" w:right="720" w:bottom="720" w:left="720" w:header="708" w:footer="708" w:gutter="0"/>
          <w:cols w:space="708"/>
          <w:docGrid w:linePitch="360"/>
        </w:sectPr>
      </w:pPr>
    </w:p>
    <w:p w14:paraId="5042C46D" w14:textId="0E051F57" w:rsidR="00141F49" w:rsidRDefault="00141F49" w:rsidP="008C612E">
      <w:pPr>
        <w:spacing w:line="276" w:lineRule="auto"/>
        <w:rPr>
          <w:rFonts w:ascii="Segoe UI Emoji" w:hAnsi="Segoe UI Emoji" w:cs="Segoe UI Emoji"/>
        </w:rPr>
      </w:pPr>
      <w:r w:rsidRPr="00141F49">
        <w:rPr>
          <w:b/>
          <w:bCs/>
        </w:rPr>
        <w:t>Syntese</w:t>
      </w:r>
      <w:r w:rsidR="00551C98">
        <w:rPr>
          <w:b/>
          <w:bCs/>
        </w:rPr>
        <w:t xml:space="preserve"> og omkrystal</w:t>
      </w:r>
      <w:r w:rsidR="00274E98">
        <w:rPr>
          <w:b/>
          <w:bCs/>
        </w:rPr>
        <w:t>lisation</w:t>
      </w:r>
      <w:r w:rsidRPr="00141F49">
        <w:rPr>
          <w:b/>
          <w:bCs/>
        </w:rPr>
        <w:t>:</w:t>
      </w:r>
      <w:r w:rsidRPr="00141F49">
        <w:t xml:space="preserve"> </w:t>
      </w:r>
    </w:p>
    <w:p w14:paraId="4269C9FC" w14:textId="77777777" w:rsidR="00141F49" w:rsidRDefault="00141F49" w:rsidP="008C612E">
      <w:pPr>
        <w:pStyle w:val="Listeafsnit"/>
        <w:numPr>
          <w:ilvl w:val="0"/>
          <w:numId w:val="2"/>
        </w:numPr>
        <w:spacing w:line="276" w:lineRule="auto"/>
      </w:pPr>
      <w:r w:rsidRPr="00141F49">
        <w:t xml:space="preserve">Salicylsyre </w:t>
      </w:r>
    </w:p>
    <w:p w14:paraId="692CEA42" w14:textId="77777777" w:rsidR="00141F49" w:rsidRDefault="00141F49" w:rsidP="008C612E">
      <w:pPr>
        <w:pStyle w:val="Listeafsnit"/>
        <w:numPr>
          <w:ilvl w:val="0"/>
          <w:numId w:val="2"/>
        </w:numPr>
        <w:spacing w:line="276" w:lineRule="auto"/>
      </w:pPr>
      <w:r w:rsidRPr="00141F49">
        <w:t xml:space="preserve">Ethansyreanhydrid </w:t>
      </w:r>
    </w:p>
    <w:p w14:paraId="610FC609" w14:textId="77777777" w:rsidR="00141F49" w:rsidRDefault="00141F49" w:rsidP="008C612E">
      <w:pPr>
        <w:pStyle w:val="Listeafsnit"/>
        <w:numPr>
          <w:ilvl w:val="0"/>
          <w:numId w:val="2"/>
        </w:numPr>
        <w:spacing w:line="276" w:lineRule="auto"/>
      </w:pPr>
      <w:r w:rsidRPr="00141F49">
        <w:t xml:space="preserve">Koncentreret svovlsyre </w:t>
      </w:r>
    </w:p>
    <w:p w14:paraId="32A7065C" w14:textId="2EE97820" w:rsidR="00A91C07" w:rsidRDefault="00C16B6B" w:rsidP="00A91C07">
      <w:pPr>
        <w:pStyle w:val="Listeafsnit"/>
        <w:numPr>
          <w:ilvl w:val="0"/>
          <w:numId w:val="2"/>
        </w:numPr>
        <w:spacing w:line="276" w:lineRule="auto"/>
      </w:pPr>
      <w:r>
        <w:t>D</w:t>
      </w:r>
      <w:r w:rsidR="00A91C07" w:rsidRPr="00141F49">
        <w:t xml:space="preserve">emineraliseret vand </w:t>
      </w:r>
    </w:p>
    <w:p w14:paraId="3B0F9826" w14:textId="546964FF" w:rsidR="00656F77" w:rsidRDefault="00A91C07" w:rsidP="00CF319A">
      <w:pPr>
        <w:pStyle w:val="Listeafsnit"/>
        <w:numPr>
          <w:ilvl w:val="0"/>
          <w:numId w:val="3"/>
        </w:numPr>
        <w:spacing w:line="276" w:lineRule="auto"/>
      </w:pPr>
      <w:r w:rsidRPr="00141F49">
        <w:t xml:space="preserve">Ethanol </w:t>
      </w:r>
    </w:p>
    <w:p w14:paraId="70B0CEDA" w14:textId="794E2381" w:rsidR="00E85E7A" w:rsidRDefault="00E85E7A" w:rsidP="00CF319A">
      <w:pPr>
        <w:pStyle w:val="Listeafsnit"/>
        <w:numPr>
          <w:ilvl w:val="0"/>
          <w:numId w:val="3"/>
        </w:numPr>
        <w:spacing w:line="276" w:lineRule="auto"/>
      </w:pPr>
      <w:r>
        <w:t>Isterninger</w:t>
      </w:r>
    </w:p>
    <w:p w14:paraId="099164E0" w14:textId="29CC8513" w:rsidR="00141F49" w:rsidRDefault="00141F49" w:rsidP="008C612E">
      <w:pPr>
        <w:pStyle w:val="Listeafsnit"/>
        <w:numPr>
          <w:ilvl w:val="0"/>
          <w:numId w:val="2"/>
        </w:numPr>
        <w:spacing w:line="276" w:lineRule="auto"/>
      </w:pPr>
      <w:r w:rsidRPr="00141F49">
        <w:t>Konisk</w:t>
      </w:r>
      <w:r w:rsidR="00E905F5">
        <w:t>e</w:t>
      </w:r>
      <w:r w:rsidRPr="00141F49">
        <w:t xml:space="preserve"> kolbe</w:t>
      </w:r>
      <w:r w:rsidR="00E905F5">
        <w:t>r</w:t>
      </w:r>
      <w:r w:rsidRPr="00141F49">
        <w:t xml:space="preserve"> (250 mL)  </w:t>
      </w:r>
    </w:p>
    <w:p w14:paraId="1C4F2506" w14:textId="14410D1A" w:rsidR="00141F49" w:rsidRDefault="00141F49" w:rsidP="008C612E">
      <w:pPr>
        <w:pStyle w:val="Listeafsnit"/>
        <w:numPr>
          <w:ilvl w:val="0"/>
          <w:numId w:val="2"/>
        </w:numPr>
        <w:spacing w:line="276" w:lineRule="auto"/>
      </w:pPr>
      <w:r w:rsidRPr="00141F49">
        <w:t xml:space="preserve">Måleglas (25 </w:t>
      </w:r>
      <w:r w:rsidR="00B54782">
        <w:t xml:space="preserve">mL </w:t>
      </w:r>
      <w:r w:rsidRPr="00141F49">
        <w:t xml:space="preserve">og 100 mL) </w:t>
      </w:r>
    </w:p>
    <w:p w14:paraId="0CEF885E" w14:textId="77777777" w:rsidR="00141F49" w:rsidRDefault="00141F49" w:rsidP="008C612E">
      <w:pPr>
        <w:pStyle w:val="Listeafsnit"/>
        <w:numPr>
          <w:ilvl w:val="0"/>
          <w:numId w:val="2"/>
        </w:numPr>
        <w:spacing w:line="276" w:lineRule="auto"/>
      </w:pPr>
      <w:proofErr w:type="spellStart"/>
      <w:r w:rsidRPr="00141F49">
        <w:t>Glaskar</w:t>
      </w:r>
      <w:proofErr w:type="spellEnd"/>
      <w:r w:rsidRPr="00141F49">
        <w:t xml:space="preserve"> til vandbad </w:t>
      </w:r>
    </w:p>
    <w:p w14:paraId="1A0E7E4F" w14:textId="0568E824" w:rsidR="00141F49" w:rsidRDefault="00141F49" w:rsidP="00BA05A7">
      <w:pPr>
        <w:pStyle w:val="Listeafsnit"/>
        <w:numPr>
          <w:ilvl w:val="0"/>
          <w:numId w:val="2"/>
        </w:numPr>
        <w:spacing w:line="276" w:lineRule="auto"/>
      </w:pPr>
      <w:r w:rsidRPr="00141F49">
        <w:t>Varmeplade med magnetomrøring</w:t>
      </w:r>
    </w:p>
    <w:p w14:paraId="7492C539" w14:textId="77777777" w:rsidR="00141F49" w:rsidRDefault="00141F49" w:rsidP="008C612E">
      <w:pPr>
        <w:pStyle w:val="Listeafsnit"/>
        <w:numPr>
          <w:ilvl w:val="0"/>
          <w:numId w:val="2"/>
        </w:numPr>
        <w:spacing w:line="276" w:lineRule="auto"/>
      </w:pPr>
      <w:r w:rsidRPr="00141F49">
        <w:t xml:space="preserve">Plastikpipette </w:t>
      </w:r>
    </w:p>
    <w:p w14:paraId="1C3359AE" w14:textId="77777777" w:rsidR="00141F49" w:rsidRDefault="00141F49" w:rsidP="008C612E">
      <w:pPr>
        <w:pStyle w:val="Listeafsnit"/>
        <w:numPr>
          <w:ilvl w:val="0"/>
          <w:numId w:val="2"/>
        </w:numPr>
        <w:spacing w:line="276" w:lineRule="auto"/>
      </w:pPr>
      <w:r w:rsidRPr="00141F49">
        <w:t>Udstyr til sugefiltrering (</w:t>
      </w:r>
      <w:proofErr w:type="spellStart"/>
      <w:r w:rsidRPr="00141F49">
        <w:t>büchnertragt</w:t>
      </w:r>
      <w:proofErr w:type="spellEnd"/>
      <w:r w:rsidRPr="00141F49">
        <w:t xml:space="preserve"> med filtrerpapir, sugekolbe (250 mL), vandluftpumpe) </w:t>
      </w:r>
    </w:p>
    <w:p w14:paraId="2B7B0F96" w14:textId="7F270470" w:rsidR="00141F49" w:rsidRDefault="00141F49" w:rsidP="008C612E">
      <w:pPr>
        <w:pStyle w:val="Listeafsnit"/>
        <w:numPr>
          <w:ilvl w:val="0"/>
          <w:numId w:val="2"/>
        </w:numPr>
        <w:spacing w:line="276" w:lineRule="auto"/>
      </w:pPr>
      <w:r w:rsidRPr="00141F49">
        <w:t>Urglas</w:t>
      </w:r>
      <w:r w:rsidR="008A4F9E">
        <w:t>/</w:t>
      </w:r>
      <w:r w:rsidR="00E1239D">
        <w:t>p</w:t>
      </w:r>
      <w:r w:rsidR="008A4F9E">
        <w:t>etriskål</w:t>
      </w:r>
    </w:p>
    <w:p w14:paraId="090D17AE" w14:textId="2276C270" w:rsidR="003F4ECB" w:rsidRDefault="00141F49" w:rsidP="008C612E">
      <w:pPr>
        <w:pStyle w:val="Listeafsnit"/>
        <w:numPr>
          <w:ilvl w:val="0"/>
          <w:numId w:val="3"/>
        </w:numPr>
        <w:spacing w:line="276" w:lineRule="auto"/>
      </w:pPr>
      <w:r w:rsidRPr="00141F49">
        <w:t>Glasspatel</w:t>
      </w:r>
    </w:p>
    <w:p w14:paraId="3FA52BA3" w14:textId="77777777" w:rsidR="00232527" w:rsidRDefault="00232527" w:rsidP="00232527">
      <w:pPr>
        <w:pStyle w:val="Listeafsnit"/>
        <w:spacing w:line="276" w:lineRule="auto"/>
        <w:ind w:left="360"/>
      </w:pPr>
    </w:p>
    <w:p w14:paraId="6F1F7913" w14:textId="77777777" w:rsidR="00232527" w:rsidRDefault="00232527" w:rsidP="00232527">
      <w:pPr>
        <w:pStyle w:val="Listeafsnit"/>
        <w:spacing w:line="276" w:lineRule="auto"/>
        <w:ind w:left="360"/>
      </w:pPr>
    </w:p>
    <w:p w14:paraId="2F064ADF" w14:textId="77777777" w:rsidR="001C0FEE" w:rsidRDefault="001C0FEE" w:rsidP="00AB145F">
      <w:pPr>
        <w:spacing w:line="276" w:lineRule="auto"/>
      </w:pPr>
      <w:r w:rsidRPr="001C0FEE">
        <w:rPr>
          <w:b/>
          <w:bCs/>
        </w:rPr>
        <w:t>TLC:</w:t>
      </w:r>
      <w:r w:rsidRPr="001C0FEE">
        <w:t xml:space="preserve"> </w:t>
      </w:r>
    </w:p>
    <w:p w14:paraId="2D0E3901" w14:textId="11CC71A4" w:rsidR="001C0FEE" w:rsidRDefault="001C0FEE" w:rsidP="008C612E">
      <w:pPr>
        <w:pStyle w:val="Listeafsnit"/>
        <w:numPr>
          <w:ilvl w:val="0"/>
          <w:numId w:val="4"/>
        </w:numPr>
        <w:spacing w:line="276" w:lineRule="auto"/>
      </w:pPr>
      <w:r w:rsidRPr="001C0FEE">
        <w:t xml:space="preserve">Råprodukt, omkrystalliseret produkt, </w:t>
      </w:r>
      <w:r w:rsidR="001F224E">
        <w:t>købt</w:t>
      </w:r>
      <w:r w:rsidR="008934E8">
        <w:t xml:space="preserve"> acetylsalicylsyre</w:t>
      </w:r>
      <w:r w:rsidRPr="001C0FEE">
        <w:t xml:space="preserve"> og salicylsyre </w:t>
      </w:r>
    </w:p>
    <w:p w14:paraId="0D2248E0" w14:textId="590F3129" w:rsidR="00696D23" w:rsidRDefault="001C0FEE" w:rsidP="008C612E">
      <w:pPr>
        <w:pStyle w:val="Listeafsnit"/>
        <w:numPr>
          <w:ilvl w:val="0"/>
          <w:numId w:val="4"/>
        </w:numPr>
        <w:spacing w:line="276" w:lineRule="auto"/>
      </w:pPr>
      <w:r w:rsidRPr="001C0FEE">
        <w:t xml:space="preserve">Løbevæske </w:t>
      </w:r>
      <w:r w:rsidR="008934E8">
        <w:t>(</w:t>
      </w:r>
      <w:proofErr w:type="spellStart"/>
      <w:r w:rsidRPr="001C0FEE">
        <w:t>pentan:iseddike</w:t>
      </w:r>
      <w:proofErr w:type="spellEnd"/>
      <w:r w:rsidRPr="001C0FEE">
        <w:t>, 5:1</w:t>
      </w:r>
      <w:r w:rsidR="008934E8">
        <w:t>)</w:t>
      </w:r>
      <w:r w:rsidRPr="001C0FEE">
        <w:t xml:space="preserve"> </w:t>
      </w:r>
    </w:p>
    <w:p w14:paraId="7AE298E5" w14:textId="77777777" w:rsidR="00696D23" w:rsidRDefault="001C0FEE" w:rsidP="008C612E">
      <w:pPr>
        <w:pStyle w:val="Listeafsnit"/>
        <w:numPr>
          <w:ilvl w:val="0"/>
          <w:numId w:val="4"/>
        </w:numPr>
        <w:spacing w:line="276" w:lineRule="auto"/>
      </w:pPr>
      <w:r w:rsidRPr="001C0FEE">
        <w:t xml:space="preserve">Ethanol (93 %) </w:t>
      </w:r>
    </w:p>
    <w:p w14:paraId="57B9BE47" w14:textId="77777777" w:rsidR="00696D23" w:rsidRDefault="001C0FEE" w:rsidP="008C612E">
      <w:pPr>
        <w:pStyle w:val="Listeafsnit"/>
        <w:numPr>
          <w:ilvl w:val="0"/>
          <w:numId w:val="4"/>
        </w:numPr>
        <w:spacing w:line="276" w:lineRule="auto"/>
      </w:pPr>
      <w:r w:rsidRPr="001C0FEE">
        <w:t xml:space="preserve">TLC-plade </w:t>
      </w:r>
    </w:p>
    <w:p w14:paraId="63EBF1B0" w14:textId="417D5C04" w:rsidR="00696D23" w:rsidRDefault="001C0FEE" w:rsidP="008C612E">
      <w:pPr>
        <w:pStyle w:val="Listeafsnit"/>
        <w:numPr>
          <w:ilvl w:val="0"/>
          <w:numId w:val="4"/>
        </w:numPr>
        <w:spacing w:line="276" w:lineRule="auto"/>
      </w:pPr>
      <w:r w:rsidRPr="001C0FEE">
        <w:t>Kromatografikar</w:t>
      </w:r>
      <w:r w:rsidR="00DB3DA4">
        <w:t>/</w:t>
      </w:r>
      <w:r w:rsidRPr="001C0FEE">
        <w:t>bægerglas (250 mL)</w:t>
      </w:r>
    </w:p>
    <w:p w14:paraId="447CBF34" w14:textId="7BBDB162" w:rsidR="004163FC" w:rsidRDefault="004163FC" w:rsidP="008C612E">
      <w:pPr>
        <w:pStyle w:val="Listeafsnit"/>
        <w:numPr>
          <w:ilvl w:val="0"/>
          <w:numId w:val="4"/>
        </w:numPr>
        <w:spacing w:line="276" w:lineRule="auto"/>
      </w:pPr>
      <w:r>
        <w:t>Kapillæ</w:t>
      </w:r>
      <w:r w:rsidRPr="001C0FEE">
        <w:t>rrør</w:t>
      </w:r>
      <w:r w:rsidR="001C0FEE" w:rsidRPr="001C0FEE">
        <w:t xml:space="preserve"> </w:t>
      </w:r>
    </w:p>
    <w:p w14:paraId="4F4DDB60" w14:textId="77777777" w:rsidR="004163FC" w:rsidRDefault="001C0FEE" w:rsidP="008C612E">
      <w:pPr>
        <w:pStyle w:val="Listeafsnit"/>
        <w:numPr>
          <w:ilvl w:val="0"/>
          <w:numId w:val="4"/>
        </w:numPr>
        <w:spacing w:line="276" w:lineRule="auto"/>
      </w:pPr>
      <w:r w:rsidRPr="001C0FEE">
        <w:t xml:space="preserve">4 stk. eppendorfrør </w:t>
      </w:r>
    </w:p>
    <w:p w14:paraId="3E22562D" w14:textId="77777777" w:rsidR="004163FC" w:rsidRDefault="001C0FEE" w:rsidP="008C612E">
      <w:pPr>
        <w:pStyle w:val="Listeafsnit"/>
        <w:numPr>
          <w:ilvl w:val="0"/>
          <w:numId w:val="4"/>
        </w:numPr>
        <w:spacing w:line="276" w:lineRule="auto"/>
      </w:pPr>
      <w:r w:rsidRPr="001C0FEE">
        <w:t xml:space="preserve">Plastikpipette </w:t>
      </w:r>
    </w:p>
    <w:p w14:paraId="1721C6DE" w14:textId="35BF3C7B" w:rsidR="004163FC" w:rsidRDefault="00B3788D" w:rsidP="008C612E">
      <w:pPr>
        <w:pStyle w:val="Listeafsnit"/>
        <w:numPr>
          <w:ilvl w:val="0"/>
          <w:numId w:val="4"/>
        </w:numPr>
        <w:spacing w:line="276" w:lineRule="auto"/>
      </w:pPr>
      <w:r>
        <w:t>UV</w:t>
      </w:r>
      <w:r w:rsidR="001C0FEE" w:rsidRPr="001C0FEE">
        <w:t xml:space="preserve">-lampe </w:t>
      </w:r>
    </w:p>
    <w:p w14:paraId="66A02E87" w14:textId="77777777" w:rsidR="004163FC" w:rsidRDefault="001C0FEE" w:rsidP="008C612E">
      <w:pPr>
        <w:pStyle w:val="Listeafsnit"/>
        <w:numPr>
          <w:ilvl w:val="0"/>
          <w:numId w:val="4"/>
        </w:numPr>
        <w:spacing w:line="276" w:lineRule="auto"/>
      </w:pPr>
      <w:r w:rsidRPr="001C0FEE">
        <w:t xml:space="preserve">Pincet </w:t>
      </w:r>
    </w:p>
    <w:p w14:paraId="09AF43D2" w14:textId="2454DC9D" w:rsidR="00872BC8" w:rsidRDefault="001C0FEE" w:rsidP="008C612E">
      <w:pPr>
        <w:pStyle w:val="Listeafsnit"/>
        <w:numPr>
          <w:ilvl w:val="0"/>
          <w:numId w:val="4"/>
        </w:numPr>
        <w:spacing w:line="276" w:lineRule="auto"/>
      </w:pPr>
      <w:r w:rsidRPr="001C0FEE">
        <w:t>Blyant</w:t>
      </w:r>
    </w:p>
    <w:p w14:paraId="40AB590E" w14:textId="77777777" w:rsidR="00DB3DA4" w:rsidRDefault="00DB3DA4" w:rsidP="00BA05A7">
      <w:pPr>
        <w:pStyle w:val="Listeafsnit"/>
        <w:spacing w:line="276" w:lineRule="auto"/>
        <w:ind w:left="360"/>
      </w:pPr>
    </w:p>
    <w:p w14:paraId="47EA64FB" w14:textId="77777777" w:rsidR="00DB3DA4" w:rsidRDefault="00DB3DA4" w:rsidP="00BA05A7">
      <w:pPr>
        <w:pStyle w:val="Listeafsnit"/>
        <w:spacing w:line="276" w:lineRule="auto"/>
        <w:ind w:left="360"/>
      </w:pPr>
    </w:p>
    <w:p w14:paraId="1A4AA241" w14:textId="77777777" w:rsidR="004163FC" w:rsidRDefault="004163FC" w:rsidP="00F84C0F"/>
    <w:p w14:paraId="636160D4" w14:textId="77777777" w:rsidR="00E905F5" w:rsidRDefault="00E905F5" w:rsidP="00F84C0F"/>
    <w:p w14:paraId="4CBD25B2" w14:textId="77777777" w:rsidR="00E905F5" w:rsidRDefault="00E905F5" w:rsidP="00F84C0F">
      <w:pPr>
        <w:sectPr w:rsidR="00E905F5" w:rsidSect="008A4F9E">
          <w:type w:val="continuous"/>
          <w:pgSz w:w="11906" w:h="16838"/>
          <w:pgMar w:top="720" w:right="720" w:bottom="720" w:left="720" w:header="708" w:footer="708" w:gutter="0"/>
          <w:cols w:num="2" w:space="708"/>
          <w:docGrid w:linePitch="360"/>
        </w:sectPr>
      </w:pPr>
    </w:p>
    <w:p w14:paraId="082CC309" w14:textId="77777777" w:rsidR="004163FC" w:rsidRDefault="004163FC" w:rsidP="00F84C0F"/>
    <w:p w14:paraId="7AF60D24" w14:textId="77777777" w:rsidR="00E86E6B" w:rsidRDefault="00093F68" w:rsidP="000032EA">
      <w:pPr>
        <w:pStyle w:val="Overskrift2"/>
        <w:spacing w:line="276" w:lineRule="auto"/>
      </w:pPr>
      <w:r w:rsidRPr="00093F68">
        <w:lastRenderedPageBreak/>
        <w:t xml:space="preserve">Risici og sikkerhed </w:t>
      </w:r>
    </w:p>
    <w:p w14:paraId="084A9873" w14:textId="77777777" w:rsidR="00E86E6B" w:rsidRDefault="00093F68" w:rsidP="000032EA">
      <w:pPr>
        <w:pStyle w:val="Listeafsnit"/>
        <w:numPr>
          <w:ilvl w:val="0"/>
          <w:numId w:val="5"/>
        </w:numPr>
        <w:spacing w:line="276" w:lineRule="auto"/>
      </w:pPr>
      <w:r w:rsidRPr="00093F68">
        <w:t xml:space="preserve">Eksperimentet udføres under punktudsug, og der bæres sikkerhedsbriller, kittel og handsker. </w:t>
      </w:r>
    </w:p>
    <w:p w14:paraId="59D83945" w14:textId="432FF9D8" w:rsidR="00E86E6B" w:rsidRPr="00AC7FD6" w:rsidRDefault="00093F68" w:rsidP="000032EA">
      <w:pPr>
        <w:pStyle w:val="Listeafsnit"/>
        <w:numPr>
          <w:ilvl w:val="0"/>
          <w:numId w:val="5"/>
        </w:numPr>
        <w:spacing w:line="276" w:lineRule="auto"/>
        <w:rPr>
          <w:rFonts w:ascii="Segoe UI Emoji" w:hAnsi="Segoe UI Emoji" w:cs="Segoe UI Emoji"/>
        </w:rPr>
      </w:pPr>
      <w:r w:rsidRPr="00093F68">
        <w:t xml:space="preserve">Salicylsyre er farligt ved indtagelse og kan give alvorlig øjenskade. </w:t>
      </w:r>
    </w:p>
    <w:p w14:paraId="3C7AD246" w14:textId="77777777" w:rsidR="00E86E6B" w:rsidRPr="00AC7FD6" w:rsidRDefault="00093F68" w:rsidP="000032EA">
      <w:pPr>
        <w:pStyle w:val="Listeafsnit"/>
        <w:numPr>
          <w:ilvl w:val="0"/>
          <w:numId w:val="5"/>
        </w:numPr>
        <w:spacing w:line="276" w:lineRule="auto"/>
        <w:rPr>
          <w:rFonts w:ascii="Segoe UI Emoji" w:hAnsi="Segoe UI Emoji" w:cs="Segoe UI Emoji"/>
        </w:rPr>
      </w:pPr>
      <w:r w:rsidRPr="00093F68">
        <w:t xml:space="preserve">Ethansyreanhydrid er farligt ved indtagelse, brandfarlig og ætsende. </w:t>
      </w:r>
    </w:p>
    <w:p w14:paraId="749A63E6" w14:textId="77777777" w:rsidR="00E86E6B" w:rsidRPr="00AC7FD6" w:rsidRDefault="00093F68" w:rsidP="000032EA">
      <w:pPr>
        <w:pStyle w:val="Listeafsnit"/>
        <w:numPr>
          <w:ilvl w:val="0"/>
          <w:numId w:val="5"/>
        </w:numPr>
        <w:spacing w:line="276" w:lineRule="auto"/>
        <w:rPr>
          <w:rFonts w:ascii="Segoe UI Emoji" w:hAnsi="Segoe UI Emoji" w:cs="Segoe UI Emoji"/>
        </w:rPr>
      </w:pPr>
      <w:r w:rsidRPr="00093F68">
        <w:t xml:space="preserve">Koncentreret svovlsyre kan forårsage alvorlige ætsninger. </w:t>
      </w:r>
    </w:p>
    <w:p w14:paraId="18D39344" w14:textId="77777777" w:rsidR="00E86E6B" w:rsidRPr="00AC7FD6" w:rsidRDefault="00093F68" w:rsidP="000032EA">
      <w:pPr>
        <w:pStyle w:val="Listeafsnit"/>
        <w:numPr>
          <w:ilvl w:val="0"/>
          <w:numId w:val="5"/>
        </w:numPr>
        <w:spacing w:line="276" w:lineRule="auto"/>
        <w:rPr>
          <w:rFonts w:ascii="Segoe UI Emoji" w:hAnsi="Segoe UI Emoji" w:cs="Segoe UI Emoji"/>
        </w:rPr>
      </w:pPr>
      <w:r w:rsidRPr="00093F68">
        <w:t xml:space="preserve">Ethanol er brandfarligt. </w:t>
      </w:r>
    </w:p>
    <w:p w14:paraId="6CAC40A4" w14:textId="1A8199E1" w:rsidR="00AC7FD6" w:rsidRDefault="00093F68" w:rsidP="000032EA">
      <w:pPr>
        <w:pStyle w:val="Listeafsnit"/>
        <w:numPr>
          <w:ilvl w:val="0"/>
          <w:numId w:val="5"/>
        </w:numPr>
        <w:spacing w:line="276" w:lineRule="auto"/>
      </w:pPr>
      <w:r w:rsidRPr="00093F68">
        <w:t>Pentan kan være livsfarligt ved indånding eller indtagelse, meget brandfarligt og giftigt for vandlevende organismer.</w:t>
      </w:r>
      <w:r w:rsidR="00AC7FD6">
        <w:t xml:space="preserve"> </w:t>
      </w:r>
    </w:p>
    <w:p w14:paraId="065B7A60" w14:textId="77777777" w:rsidR="00AC7FD6" w:rsidRDefault="00093F68" w:rsidP="000032EA">
      <w:pPr>
        <w:pStyle w:val="Listeafsnit"/>
        <w:numPr>
          <w:ilvl w:val="0"/>
          <w:numId w:val="5"/>
        </w:numPr>
        <w:spacing w:line="276" w:lineRule="auto"/>
      </w:pPr>
      <w:r w:rsidRPr="00093F68">
        <w:t xml:space="preserve">Iseddike er brandfarligt og ætsende. </w:t>
      </w:r>
    </w:p>
    <w:p w14:paraId="2ECC630E" w14:textId="06B6A2CF" w:rsidR="00AC7FD6" w:rsidRDefault="00AC7FD6" w:rsidP="00AC7FD6"/>
    <w:p w14:paraId="02DE51A3" w14:textId="224CC31E" w:rsidR="00EF25AC" w:rsidRDefault="00EF25AC" w:rsidP="000032EA">
      <w:pPr>
        <w:spacing w:line="276" w:lineRule="auto"/>
      </w:pPr>
      <w:r w:rsidRPr="00EF25AC">
        <w:rPr>
          <w:rStyle w:val="Overskrift2Tegn"/>
        </w:rPr>
        <w:t>Fremgangsmåde</w:t>
      </w:r>
      <w:r w:rsidRPr="00EF25AC">
        <w:t xml:space="preserve"> </w:t>
      </w:r>
    </w:p>
    <w:p w14:paraId="1CC6F9D9" w14:textId="2A5A812C" w:rsidR="00EF25AC" w:rsidRDefault="009D4BF8" w:rsidP="007B50DE">
      <w:pPr>
        <w:spacing w:line="360" w:lineRule="auto"/>
        <w:rPr>
          <w:rFonts w:ascii="Segoe UI Emoji" w:hAnsi="Segoe UI Emoji" w:cs="Segoe UI Emoji"/>
        </w:rPr>
      </w:pPr>
      <w:r w:rsidRPr="009D4BF8">
        <w:rPr>
          <w:noProof/>
        </w:rPr>
        <w:drawing>
          <wp:anchor distT="0" distB="0" distL="114300" distR="114300" simplePos="0" relativeHeight="251658242" behindDoc="0" locked="0" layoutInCell="1" allowOverlap="1" wp14:anchorId="088C4B29" wp14:editId="08F48C29">
            <wp:simplePos x="0" y="0"/>
            <wp:positionH relativeFrom="column">
              <wp:posOffset>5511800</wp:posOffset>
            </wp:positionH>
            <wp:positionV relativeFrom="paragraph">
              <wp:posOffset>64770</wp:posOffset>
            </wp:positionV>
            <wp:extent cx="1180465" cy="2240280"/>
            <wp:effectExtent l="0" t="0" r="635" b="7620"/>
            <wp:wrapSquare wrapText="bothSides"/>
            <wp:docPr id="1707960014" name="Billede 1" descr="Et billede, der indeholder vægt,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60014" name="Billede 1" descr="Et billede, der indeholder vægt, indendørs&#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465" cy="2240280"/>
                    </a:xfrm>
                    <a:prstGeom prst="rect">
                      <a:avLst/>
                    </a:prstGeom>
                  </pic:spPr>
                </pic:pic>
              </a:graphicData>
            </a:graphic>
            <wp14:sizeRelH relativeFrom="margin">
              <wp14:pctWidth>0</wp14:pctWidth>
            </wp14:sizeRelH>
            <wp14:sizeRelV relativeFrom="margin">
              <wp14:pctHeight>0</wp14:pctHeight>
            </wp14:sizeRelV>
          </wp:anchor>
        </w:drawing>
      </w:r>
      <w:r w:rsidR="00EF25AC" w:rsidRPr="00EF25AC">
        <w:rPr>
          <w:b/>
          <w:bCs/>
        </w:rPr>
        <w:t>Syntese:</w:t>
      </w:r>
      <w:r w:rsidR="00EF25AC" w:rsidRPr="00EF25AC">
        <w:t xml:space="preserve"> </w:t>
      </w:r>
    </w:p>
    <w:p w14:paraId="1821BC3E" w14:textId="19261B5B" w:rsidR="00EF25AC" w:rsidRPr="00016B50" w:rsidRDefault="00EF25AC" w:rsidP="005C4A58">
      <w:pPr>
        <w:pStyle w:val="Listeafsnit"/>
        <w:numPr>
          <w:ilvl w:val="0"/>
          <w:numId w:val="16"/>
        </w:numPr>
        <w:spacing w:line="360" w:lineRule="auto"/>
      </w:pPr>
      <w:r w:rsidRPr="00016B50">
        <w:t xml:space="preserve">Hæld </w:t>
      </w:r>
      <w:r w:rsidR="00A67613" w:rsidRPr="00016B50">
        <w:t xml:space="preserve">2-3 cm </w:t>
      </w:r>
      <w:r w:rsidRPr="00016B50">
        <w:t>vand</w:t>
      </w:r>
      <w:r w:rsidR="005138E4" w:rsidRPr="00016B50">
        <w:t xml:space="preserve"> (gerne varmt</w:t>
      </w:r>
      <w:r w:rsidR="001D2DB1" w:rsidRPr="00016B50">
        <w:t xml:space="preserve"> fra hanen)</w:t>
      </w:r>
      <w:r w:rsidRPr="00016B50">
        <w:t xml:space="preserve"> i et </w:t>
      </w:r>
      <w:proofErr w:type="spellStart"/>
      <w:r w:rsidRPr="00016B50">
        <w:t>glaskar</w:t>
      </w:r>
      <w:proofErr w:type="spellEnd"/>
      <w:r w:rsidRPr="00016B50">
        <w:t xml:space="preserve"> og anbring karret på en varmeplade. </w:t>
      </w:r>
    </w:p>
    <w:p w14:paraId="52D6C6CC" w14:textId="0BFC63E9" w:rsidR="00EF25AC" w:rsidRDefault="00EF25AC" w:rsidP="005C4A58">
      <w:pPr>
        <w:pStyle w:val="Listeafsnit"/>
        <w:numPr>
          <w:ilvl w:val="0"/>
          <w:numId w:val="16"/>
        </w:numPr>
        <w:spacing w:line="360" w:lineRule="auto"/>
      </w:pPr>
      <w:r>
        <w:t>A</w:t>
      </w:r>
      <w:r w:rsidRPr="00EF25AC">
        <w:t xml:space="preserve">fvej 10,0 g salicylsyre og overfør det til en konisk kolbe sammen med en magnet. </w:t>
      </w:r>
    </w:p>
    <w:p w14:paraId="351218A6" w14:textId="08E6D9D0" w:rsidR="00EF25AC" w:rsidRDefault="00EF25AC" w:rsidP="005C4A58">
      <w:pPr>
        <w:pStyle w:val="Listeafsnit"/>
        <w:numPr>
          <w:ilvl w:val="0"/>
          <w:numId w:val="16"/>
        </w:numPr>
        <w:spacing w:line="360" w:lineRule="auto"/>
      </w:pPr>
      <w:r w:rsidRPr="00EF25AC">
        <w:t xml:space="preserve">Afmål 15 mL ethansyreanhydrid i et måleglas og overfør det ligeledes til den koniske kolbe. </w:t>
      </w:r>
    </w:p>
    <w:p w14:paraId="33F07109" w14:textId="3BE50F9A" w:rsidR="00EF25AC" w:rsidRPr="00704D66" w:rsidRDefault="00EF25AC" w:rsidP="005C4A58">
      <w:pPr>
        <w:pStyle w:val="Listeafsnit"/>
        <w:numPr>
          <w:ilvl w:val="0"/>
          <w:numId w:val="16"/>
        </w:numPr>
        <w:spacing w:line="360" w:lineRule="auto"/>
        <w:rPr>
          <w:color w:val="FF0000"/>
        </w:rPr>
      </w:pPr>
      <w:r w:rsidRPr="00704D66">
        <w:rPr>
          <w:color w:val="FF0000"/>
        </w:rPr>
        <w:t xml:space="preserve">Tilsæt forsigtigt 5 dråber koncentreret svovlsyre til kolben. </w:t>
      </w:r>
      <w:r w:rsidR="00704D66" w:rsidRPr="00704D66">
        <w:rPr>
          <w:color w:val="FF0000"/>
        </w:rPr>
        <w:t>DETTE GØR HS</w:t>
      </w:r>
    </w:p>
    <w:p w14:paraId="6A4EF87A" w14:textId="1D56BBD6" w:rsidR="00EF25AC" w:rsidRDefault="00EF25AC" w:rsidP="005C4A58">
      <w:pPr>
        <w:pStyle w:val="Listeafsnit"/>
        <w:numPr>
          <w:ilvl w:val="0"/>
          <w:numId w:val="16"/>
        </w:numPr>
        <w:spacing w:line="360" w:lineRule="auto"/>
      </w:pPr>
      <w:r w:rsidRPr="00EF25AC">
        <w:t>Anbring kolben med reaktionsblandingen i vandbadet</w:t>
      </w:r>
      <w:r w:rsidR="00B30D53">
        <w:t xml:space="preserve">. </w:t>
      </w:r>
      <w:r w:rsidR="009F6281">
        <w:t>S</w:t>
      </w:r>
      <w:r w:rsidR="00A169B4">
        <w:t>æt tempe</w:t>
      </w:r>
      <w:r w:rsidR="007031FE">
        <w:t>raturcensor</w:t>
      </w:r>
      <w:r w:rsidR="007729D5">
        <w:t xml:space="preserve"> eller termometer</w:t>
      </w:r>
      <w:r w:rsidRPr="00EF25AC">
        <w:t xml:space="preserve"> ned i kolben. </w:t>
      </w:r>
      <w:r w:rsidR="007729D5">
        <w:t>Opvarm</w:t>
      </w:r>
      <w:r w:rsidRPr="00EF25AC">
        <w:t xml:space="preserve"> blandingen til 60 °C, se figur 2. Når blandingen har nået temperaturen, skal den omrøres i ca. 15 minutter. Læg mærke til at salicylsyre opløses efter kort tids opvarmning. </w:t>
      </w:r>
    </w:p>
    <w:p w14:paraId="784AA609" w14:textId="3A86D055" w:rsidR="00EF25AC" w:rsidRDefault="00EF25AC" w:rsidP="005C4A58">
      <w:pPr>
        <w:pStyle w:val="Listeafsnit"/>
        <w:numPr>
          <w:ilvl w:val="0"/>
          <w:numId w:val="16"/>
        </w:numPr>
        <w:spacing w:line="360" w:lineRule="auto"/>
      </w:pPr>
      <w:r w:rsidRPr="00EF25AC">
        <w:t xml:space="preserve">I nogle tilfælde krystalliseres acetylsalicylsyre når det er dannet, mens krystalliseringen andre gange skal hjælpes på vej ved at sænke temperaturen. Tøm </w:t>
      </w:r>
      <w:r w:rsidR="00BA71FC">
        <w:t xml:space="preserve">da </w:t>
      </w:r>
      <w:r w:rsidRPr="00EF25AC">
        <w:t xml:space="preserve">vandbadet og fyld karret med koldt vand og isterninger. Anbring kolben i isbadet. Hvis der stadig ikke er dannet krystaller, kan krystallisationen hjælpes i gang ved at skrabe på indersiden af kolben med en glasspatel. </w:t>
      </w:r>
    </w:p>
    <w:p w14:paraId="3C1BB38D" w14:textId="763BF16E" w:rsidR="00EF25AC" w:rsidRDefault="00EF25AC" w:rsidP="005C4A58">
      <w:pPr>
        <w:pStyle w:val="Listeafsnit"/>
        <w:numPr>
          <w:ilvl w:val="0"/>
          <w:numId w:val="16"/>
        </w:numPr>
        <w:spacing w:line="360" w:lineRule="auto"/>
      </w:pPr>
      <w:r w:rsidRPr="00EF25AC">
        <w:t xml:space="preserve">Tilsæt efter udkrystalliseringen 100 mL demineraliseret vand og lad blandingen omrøre i et par minutter. </w:t>
      </w:r>
    </w:p>
    <w:p w14:paraId="564C5131" w14:textId="68DBE4F6" w:rsidR="00EF25AC" w:rsidRDefault="00EF25AC" w:rsidP="005C4A58">
      <w:pPr>
        <w:pStyle w:val="Listeafsnit"/>
        <w:numPr>
          <w:ilvl w:val="0"/>
          <w:numId w:val="16"/>
        </w:numPr>
        <w:spacing w:line="360" w:lineRule="auto"/>
      </w:pPr>
      <w:r w:rsidRPr="00EF25AC">
        <w:t>Isolér krystallerne ved sugefilt</w:t>
      </w:r>
      <w:r w:rsidR="007729D5">
        <w:t>r</w:t>
      </w:r>
      <w:r w:rsidRPr="00EF25AC">
        <w:t xml:space="preserve">ering. Vask efter med </w:t>
      </w:r>
      <w:r w:rsidR="00004AA1">
        <w:t xml:space="preserve">LIDT </w:t>
      </w:r>
      <w:r w:rsidRPr="00EF25AC">
        <w:t xml:space="preserve">demineraliseret vand. </w:t>
      </w:r>
    </w:p>
    <w:p w14:paraId="32821A86" w14:textId="3CA1D5D5" w:rsidR="00AC7FD6" w:rsidRDefault="00EF25AC" w:rsidP="005C4A58">
      <w:pPr>
        <w:pStyle w:val="Listeafsnit"/>
        <w:numPr>
          <w:ilvl w:val="0"/>
          <w:numId w:val="16"/>
        </w:numPr>
        <w:spacing w:line="360" w:lineRule="auto"/>
      </w:pPr>
      <w:r w:rsidRPr="00EF25AC">
        <w:t xml:space="preserve">Overfør </w:t>
      </w:r>
      <w:r w:rsidR="00F77AA6">
        <w:t>en spatelspids</w:t>
      </w:r>
      <w:r w:rsidR="00336464">
        <w:t xml:space="preserve"> af råproduktet i</w:t>
      </w:r>
      <w:r w:rsidRPr="00EF25AC">
        <w:t xml:space="preserve"> et eppendorfrør og gem det til TLC-analyse.</w:t>
      </w:r>
    </w:p>
    <w:p w14:paraId="00E83C5C" w14:textId="369AAB5A" w:rsidR="009A1C9F" w:rsidRDefault="009A1C9F" w:rsidP="000032EA">
      <w:pPr>
        <w:spacing w:line="276" w:lineRule="auto"/>
      </w:pPr>
    </w:p>
    <w:p w14:paraId="1CF896C8" w14:textId="77777777" w:rsidR="009A1C9F" w:rsidRDefault="009A1C9F" w:rsidP="007B50DE">
      <w:pPr>
        <w:spacing w:line="360" w:lineRule="auto"/>
      </w:pPr>
      <w:r w:rsidRPr="009A1C9F">
        <w:rPr>
          <w:b/>
          <w:bCs/>
        </w:rPr>
        <w:t>Omkrystallisation:</w:t>
      </w:r>
      <w:r w:rsidRPr="009A1C9F">
        <w:t xml:space="preserve"> </w:t>
      </w:r>
    </w:p>
    <w:p w14:paraId="4544C88D" w14:textId="39B46FF5" w:rsidR="009A1C9F" w:rsidRDefault="009A1C9F" w:rsidP="000B27FC">
      <w:pPr>
        <w:pStyle w:val="Listeafsnit"/>
        <w:numPr>
          <w:ilvl w:val="0"/>
          <w:numId w:val="17"/>
        </w:numPr>
        <w:spacing w:line="360" w:lineRule="auto"/>
      </w:pPr>
      <w:r w:rsidRPr="009A1C9F">
        <w:t xml:space="preserve">Afmål ca. 80 mL demineraliseret vand i et måleglas og hæld det i en 250 mL konisk kolbe. Anbring kolben i fryseren indtil næste punkt er udført (mindst 5 minutter). </w:t>
      </w:r>
    </w:p>
    <w:p w14:paraId="34BC50FF" w14:textId="069A4F5B" w:rsidR="009A1C9F" w:rsidRDefault="009A1C9F" w:rsidP="000B27FC">
      <w:pPr>
        <w:pStyle w:val="Listeafsnit"/>
        <w:numPr>
          <w:ilvl w:val="0"/>
          <w:numId w:val="17"/>
        </w:numPr>
        <w:spacing w:line="360" w:lineRule="auto"/>
      </w:pPr>
      <w:r w:rsidRPr="009A1C9F">
        <w:t xml:space="preserve">Overfør råproduktet til en 250 mL konisk kolbe og tilsæt 30 mL ethanol. Tilsæt en magnet til kolben og anbring den på en varmeplade. Opvarm blandingen under omrøring indtil alt råprodukt er opløst. </w:t>
      </w:r>
    </w:p>
    <w:p w14:paraId="150BC16A" w14:textId="40580F0B" w:rsidR="009A1C9F" w:rsidRDefault="009A1C9F" w:rsidP="000B27FC">
      <w:pPr>
        <w:pStyle w:val="Listeafsnit"/>
        <w:numPr>
          <w:ilvl w:val="0"/>
          <w:numId w:val="17"/>
        </w:numPr>
        <w:spacing w:line="360" w:lineRule="auto"/>
      </w:pPr>
      <w:r w:rsidRPr="009A1C9F">
        <w:t xml:space="preserve">Tag kolben </w:t>
      </w:r>
      <w:r w:rsidR="00E471BC">
        <w:t xml:space="preserve">med vand </w:t>
      </w:r>
      <w:r w:rsidRPr="009A1C9F">
        <w:t xml:space="preserve">ud af fryseren og hæld den varme </w:t>
      </w:r>
      <w:r w:rsidR="00E80701">
        <w:t>ethanol-</w:t>
      </w:r>
      <w:r w:rsidRPr="009A1C9F">
        <w:t xml:space="preserve">opløsning ned i det kolde vand. Sæt endnu engang kolben i fryseren (5 minutter). Hvis der stadig ikke er sket en krystallisering så skrab på indersiden af kolben med en glasspatel. </w:t>
      </w:r>
    </w:p>
    <w:p w14:paraId="0828DE8A" w14:textId="5849C14D" w:rsidR="004253CB" w:rsidRDefault="009A1C9F" w:rsidP="000B27FC">
      <w:pPr>
        <w:pStyle w:val="Listeafsnit"/>
        <w:numPr>
          <w:ilvl w:val="0"/>
          <w:numId w:val="17"/>
        </w:numPr>
        <w:spacing w:line="360" w:lineRule="auto"/>
      </w:pPr>
      <w:r w:rsidRPr="009A1C9F">
        <w:t xml:space="preserve">Isolér krystallerne af acetylsalicylsyre ved sugefiltrering. Vask efter med </w:t>
      </w:r>
      <w:r w:rsidR="00A916D8">
        <w:t xml:space="preserve">LIDT </w:t>
      </w:r>
      <w:r w:rsidRPr="009A1C9F">
        <w:t>demineraliseret vand.</w:t>
      </w:r>
    </w:p>
    <w:p w14:paraId="54F6FC54" w14:textId="2D42227E" w:rsidR="009A1C9F" w:rsidRDefault="004253CB" w:rsidP="000B27FC">
      <w:pPr>
        <w:pStyle w:val="Listeafsnit"/>
        <w:numPr>
          <w:ilvl w:val="0"/>
          <w:numId w:val="17"/>
        </w:numPr>
        <w:spacing w:line="360" w:lineRule="auto"/>
      </w:pPr>
      <w:r w:rsidRPr="00EF25AC">
        <w:t xml:space="preserve">Overfør </w:t>
      </w:r>
      <w:r>
        <w:t>en spatelspids af det omkrystalliserede produktet i</w:t>
      </w:r>
      <w:r w:rsidRPr="00EF25AC">
        <w:t xml:space="preserve"> et eppendorfrør og gem det til TLC-analyse.</w:t>
      </w:r>
      <w:r w:rsidR="009A1C9F" w:rsidRPr="009A1C9F">
        <w:t xml:space="preserve"> </w:t>
      </w:r>
    </w:p>
    <w:p w14:paraId="52E3A0F9" w14:textId="1151BD11" w:rsidR="009A1C9F" w:rsidRDefault="009A1C9F" w:rsidP="000B27FC">
      <w:pPr>
        <w:pStyle w:val="Listeafsnit"/>
        <w:numPr>
          <w:ilvl w:val="0"/>
          <w:numId w:val="17"/>
        </w:numPr>
        <w:spacing w:line="360" w:lineRule="auto"/>
      </w:pPr>
      <w:r w:rsidRPr="009A1C9F">
        <w:t>Overfør krystallerne til et afvejet urglas</w:t>
      </w:r>
      <w:r w:rsidR="0059544F">
        <w:t>/petriskål</w:t>
      </w:r>
      <w:r w:rsidRPr="009A1C9F">
        <w:t xml:space="preserve"> og lad krystallerne tørre til næste lektion. </w:t>
      </w:r>
    </w:p>
    <w:p w14:paraId="1825FFAB" w14:textId="527D60FD" w:rsidR="009A1C9F" w:rsidRDefault="009A1C9F" w:rsidP="000B27FC">
      <w:pPr>
        <w:pStyle w:val="Listeafsnit"/>
        <w:numPr>
          <w:ilvl w:val="0"/>
          <w:numId w:val="17"/>
        </w:numPr>
        <w:spacing w:line="360" w:lineRule="auto"/>
      </w:pPr>
      <w:r w:rsidRPr="009A1C9F">
        <w:t xml:space="preserve">Afvej det tørre omkrystalliserede produkt. Notér massen i </w:t>
      </w:r>
      <w:r w:rsidR="003A231C">
        <w:t>resultat</w:t>
      </w:r>
      <w:r w:rsidRPr="009A1C9F">
        <w:t>tabel</w:t>
      </w:r>
      <w:r w:rsidR="003A231C">
        <w:t>len.</w:t>
      </w:r>
    </w:p>
    <w:p w14:paraId="5FE10279" w14:textId="45705747" w:rsidR="001350F1" w:rsidRDefault="001350F1" w:rsidP="001350F1"/>
    <w:p w14:paraId="5CB8A707" w14:textId="77777777" w:rsidR="006679CD" w:rsidRDefault="006679CD" w:rsidP="00D67B04">
      <w:pPr>
        <w:spacing w:line="360" w:lineRule="auto"/>
        <w:rPr>
          <w:b/>
          <w:bCs/>
        </w:rPr>
      </w:pPr>
    </w:p>
    <w:p w14:paraId="56059E66" w14:textId="77777777" w:rsidR="00A916D8" w:rsidRDefault="00A916D8">
      <w:pPr>
        <w:spacing w:after="160" w:line="259" w:lineRule="auto"/>
        <w:rPr>
          <w:b/>
          <w:bCs/>
        </w:rPr>
      </w:pPr>
      <w:r>
        <w:rPr>
          <w:b/>
          <w:bCs/>
        </w:rPr>
        <w:br w:type="page"/>
      </w:r>
    </w:p>
    <w:p w14:paraId="692530C4" w14:textId="20898024" w:rsidR="001350F1" w:rsidRDefault="001350F1" w:rsidP="00D67B04">
      <w:pPr>
        <w:spacing w:line="360" w:lineRule="auto"/>
      </w:pPr>
      <w:r w:rsidRPr="00D67B04">
        <w:rPr>
          <w:b/>
          <w:bCs/>
        </w:rPr>
        <w:lastRenderedPageBreak/>
        <w:t>TLC:</w:t>
      </w:r>
      <w:r w:rsidRPr="001350F1">
        <w:t xml:space="preserve"> </w:t>
      </w:r>
    </w:p>
    <w:p w14:paraId="62DC0B02" w14:textId="4F4C9138" w:rsidR="001350F1" w:rsidRDefault="000A191C" w:rsidP="004906C2">
      <w:pPr>
        <w:pStyle w:val="Listeafsnit"/>
        <w:numPr>
          <w:ilvl w:val="0"/>
          <w:numId w:val="18"/>
        </w:numPr>
        <w:spacing w:line="360" w:lineRule="auto"/>
      </w:pPr>
      <w:r>
        <w:rPr>
          <w:noProof/>
          <w14:ligatures w14:val="standardContextual"/>
        </w:rPr>
        <mc:AlternateContent>
          <mc:Choice Requires="wps">
            <w:drawing>
              <wp:anchor distT="0" distB="0" distL="114300" distR="114300" simplePos="0" relativeHeight="251658243" behindDoc="0" locked="0" layoutInCell="1" allowOverlap="1" wp14:anchorId="651A1DFC" wp14:editId="17EDD799">
                <wp:simplePos x="0" y="0"/>
                <wp:positionH relativeFrom="column">
                  <wp:posOffset>5180330</wp:posOffset>
                </wp:positionH>
                <wp:positionV relativeFrom="paragraph">
                  <wp:posOffset>334909</wp:posOffset>
                </wp:positionV>
                <wp:extent cx="1586865" cy="3010535"/>
                <wp:effectExtent l="0" t="0" r="0" b="0"/>
                <wp:wrapSquare wrapText="bothSides"/>
                <wp:docPr id="1291954662" name="Tekstfelt 1"/>
                <wp:cNvGraphicFramePr/>
                <a:graphic xmlns:a="http://schemas.openxmlformats.org/drawingml/2006/main">
                  <a:graphicData uri="http://schemas.microsoft.com/office/word/2010/wordprocessingShape">
                    <wps:wsp>
                      <wps:cNvSpPr txBox="1"/>
                      <wps:spPr>
                        <a:xfrm>
                          <a:off x="0" y="0"/>
                          <a:ext cx="1586865" cy="3010535"/>
                        </a:xfrm>
                        <a:prstGeom prst="rect">
                          <a:avLst/>
                        </a:prstGeom>
                        <a:solidFill>
                          <a:schemeClr val="lt1"/>
                        </a:solidFill>
                        <a:ln w="6350">
                          <a:noFill/>
                        </a:ln>
                      </wps:spPr>
                      <wps:txbx>
                        <w:txbxContent>
                          <w:p w14:paraId="12343373" w14:textId="77777777" w:rsidR="00746275" w:rsidRDefault="00522E0D">
                            <w:r>
                              <w:rPr>
                                <w:noProof/>
                                <w14:ligatures w14:val="standardContextual"/>
                              </w:rPr>
                              <w:drawing>
                                <wp:inline distT="0" distB="0" distL="0" distR="0" wp14:anchorId="39B20747" wp14:editId="0B44FC69">
                                  <wp:extent cx="1369629" cy="2665562"/>
                                  <wp:effectExtent l="0" t="0" r="2540" b="1905"/>
                                  <wp:docPr id="762755683" name="Billede 1" descr="Et billede, der indeholder tekst,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5683" name="Billede 1" descr="Et billede, der indeholder tekst, Font/skrifttype, skærmbillede&#10;&#10;Automatisk genereret beskrivels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160" cy="2808667"/>
                                          </a:xfrm>
                                          <a:prstGeom prst="rect">
                                            <a:avLst/>
                                          </a:prstGeom>
                                        </pic:spPr>
                                      </pic:pic>
                                    </a:graphicData>
                                  </a:graphic>
                                </wp:inline>
                              </w:drawing>
                            </w:r>
                          </w:p>
                          <w:p w14:paraId="77A67952" w14:textId="77777777" w:rsidR="00746275" w:rsidRPr="00522E0D" w:rsidRDefault="00746275">
                            <w:pPr>
                              <w:rPr>
                                <w:rFonts w:asciiTheme="minorHAnsi" w:hAnsiTheme="minorHAnsi" w:cstheme="minorHAnsi"/>
                                <w:sz w:val="20"/>
                                <w:szCs w:val="21"/>
                              </w:rPr>
                            </w:pPr>
                            <w:r w:rsidRPr="00522E0D">
                              <w:rPr>
                                <w:rFonts w:asciiTheme="minorHAnsi" w:hAnsiTheme="minorHAnsi" w:cstheme="minorHAnsi"/>
                                <w:sz w:val="20"/>
                                <w:szCs w:val="21"/>
                              </w:rPr>
                              <w:t>Figur 3</w:t>
                            </w:r>
                            <w:r w:rsidR="00522E0D">
                              <w:rPr>
                                <w:rFonts w:asciiTheme="minorHAnsi" w:hAnsiTheme="minorHAnsi" w:cstheme="minorHAnsi"/>
                                <w:sz w:val="20"/>
                                <w:szCs w:val="21"/>
                              </w:rPr>
                              <w:t>: TLC-plade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A1DFC" id="_x0000_t202" coordsize="21600,21600" o:spt="202" path="m,l,21600r21600,l21600,xe">
                <v:stroke joinstyle="miter"/>
                <v:path gradientshapeok="t" o:connecttype="rect"/>
              </v:shapetype>
              <v:shape id="Tekstfelt 1" o:spid="_x0000_s1026" type="#_x0000_t202" style="position:absolute;left:0;text-align:left;margin-left:407.9pt;margin-top:26.35pt;width:124.95pt;height:23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S/LQIAAFUEAAAOAAAAZHJzL2Uyb0RvYy54bWysVE1v2zAMvQ/YfxB0X5wvZ6kRp8hSZBhQ&#10;tAXSoWdFlmIDsqhJSuzs14+SnY91Ow27yJRIPZGPj17ct7UiR2FdBTqno8GQEqE5FJXe5/T76+bT&#10;nBLnmS6YAi1yehKO3i8/flg0JhNjKEEVwhIE0S5rTE5L702WJI6XomZuAEZodEqwNfO4tfuksKxB&#10;9Fol4+FwljRgC2OBC+fw9KFz0mXEl1Jw/yylE56onGJuPq42rruwJssFy/aWmbLifRrsH7KoWaXx&#10;0QvUA/OMHGz1B1RdcQsOpB9wqBOQsuIi1oDVjIbvqtmWzIhYC5LjzIUm9/9g+dNxa14s8e0XaLGB&#10;gZDGuMzhYainlbYOX8yUoB8pPF1oE60nPFxK57P5LKWEo2+CZaSTNOAk1+vGOv9VQE2CkVOLfYl0&#10;seOj813oOSS85kBVxaZSKm6CFsRaWXJk2EXlY5II/luU0qTJ6WySDiOwhnC9Q1Yac7kWFSzf7tq+&#10;0h0UJyTAQqcNZ/imwiQfmfMvzKIYsGYUuH/GRSrAR6C3KCnB/vzbeYjHHqGXkgbFlVP348CsoER9&#10;09i9u9F0GtQYN9P08xg39tazu/XoQ70GrHyEo2R4NEO8V2dTWqjfcA5W4VV0Mc3x7Zz6s7n2neRx&#10;jrhYrWIQ6s8w/6i3hgfowHRowWv7xqzp++SxxU9wliHL3rWriw03NawOHmQVexkI7ljteUftRjX0&#10;cxaG43Yfo65/g+UvAAAA//8DAFBLAwQUAAYACAAAACEAr9Bz3eEAAAALAQAADwAAAGRycy9kb3du&#10;cmV2LnhtbEyPS0+EQBCE7yb+h0mbeDHusLuBJciwMcZH4s3FR7zNMi0QmR7CzAL+e5uT3rqrK1Vf&#10;5/vZdmLEwbeOFKxXEQikypmWagWv5cN1CsIHTUZ3jlDBD3rYF+dnuc6Mm+gFx0OoBYeQz7SCJoQ+&#10;k9JXDVrtV65H4tuXG6wOvA61NIOeONx2chNFibS6JW5odI93DVbfh5NV8HlVfzz7+fFt2sbb/v5p&#10;LHfvplTq8mK+vQERcA5/ZljwGR0KZjq6ExkvOgXpOmb0oCDe7EAshiiJeTouSpKCLHL5/4fiFwAA&#10;//8DAFBLAQItABQABgAIAAAAIQC2gziS/gAAAOEBAAATAAAAAAAAAAAAAAAAAAAAAABbQ29udGVu&#10;dF9UeXBlc10ueG1sUEsBAi0AFAAGAAgAAAAhADj9If/WAAAAlAEAAAsAAAAAAAAAAAAAAAAALwEA&#10;AF9yZWxzLy5yZWxzUEsBAi0AFAAGAAgAAAAhAOBb1L8tAgAAVQQAAA4AAAAAAAAAAAAAAAAALgIA&#10;AGRycy9lMm9Eb2MueG1sUEsBAi0AFAAGAAgAAAAhAK/Qc93hAAAACwEAAA8AAAAAAAAAAAAAAAAA&#10;hwQAAGRycy9kb3ducmV2LnhtbFBLBQYAAAAABAAEAPMAAACVBQAAAAA=&#10;" fillcolor="white [3201]" stroked="f" strokeweight=".5pt">
                <v:textbox>
                  <w:txbxContent>
                    <w:p w14:paraId="12343373" w14:textId="77777777" w:rsidR="00746275" w:rsidRDefault="00522E0D">
                      <w:r>
                        <w:rPr>
                          <w:noProof/>
                          <w14:ligatures w14:val="standardContextual"/>
                        </w:rPr>
                        <w:drawing>
                          <wp:inline distT="0" distB="0" distL="0" distR="0" wp14:anchorId="39B20747" wp14:editId="0B44FC69">
                            <wp:extent cx="1369629" cy="2665562"/>
                            <wp:effectExtent l="0" t="0" r="2540" b="1905"/>
                            <wp:docPr id="762755683" name="Billede 1" descr="Et billede, der indeholder tekst,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5683" name="Billede 1" descr="Et billede, der indeholder tekst, Font/skrifttype, skærmbillede&#10;&#10;Automatisk genereret beskrivels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3160" cy="2808667"/>
                                    </a:xfrm>
                                    <a:prstGeom prst="rect">
                                      <a:avLst/>
                                    </a:prstGeom>
                                  </pic:spPr>
                                </pic:pic>
                              </a:graphicData>
                            </a:graphic>
                          </wp:inline>
                        </w:drawing>
                      </w:r>
                    </w:p>
                    <w:p w14:paraId="77A67952" w14:textId="77777777" w:rsidR="00746275" w:rsidRPr="00522E0D" w:rsidRDefault="00746275">
                      <w:pPr>
                        <w:rPr>
                          <w:rFonts w:asciiTheme="minorHAnsi" w:hAnsiTheme="minorHAnsi" w:cstheme="minorHAnsi"/>
                          <w:sz w:val="20"/>
                          <w:szCs w:val="21"/>
                        </w:rPr>
                      </w:pPr>
                      <w:r w:rsidRPr="00522E0D">
                        <w:rPr>
                          <w:rFonts w:asciiTheme="minorHAnsi" w:hAnsiTheme="minorHAnsi" w:cstheme="minorHAnsi"/>
                          <w:sz w:val="20"/>
                          <w:szCs w:val="21"/>
                        </w:rPr>
                        <w:t>Figur 3</w:t>
                      </w:r>
                      <w:r w:rsidR="00522E0D">
                        <w:rPr>
                          <w:rFonts w:asciiTheme="minorHAnsi" w:hAnsiTheme="minorHAnsi" w:cstheme="minorHAnsi"/>
                          <w:sz w:val="20"/>
                          <w:szCs w:val="21"/>
                        </w:rPr>
                        <w:t>: TLC-plade</w:t>
                      </w:r>
                    </w:p>
                  </w:txbxContent>
                </v:textbox>
                <w10:wrap type="square"/>
              </v:shape>
            </w:pict>
          </mc:Fallback>
        </mc:AlternateContent>
      </w:r>
      <w:r w:rsidR="001350F1" w:rsidRPr="001350F1">
        <w:t xml:space="preserve">I stinkskabet hældes løbevæske i kromatografikarret så væskehøjden er ca. </w:t>
      </w:r>
      <w:r w:rsidR="00554B31">
        <w:t>0,5</w:t>
      </w:r>
      <w:r w:rsidR="001350F1" w:rsidRPr="001350F1">
        <w:t xml:space="preserve"> </w:t>
      </w:r>
      <w:r w:rsidR="00554B31">
        <w:t>c</w:t>
      </w:r>
      <w:r w:rsidR="001350F1" w:rsidRPr="001350F1">
        <w:t>m. Læg låg på karret og lad det stå,</w:t>
      </w:r>
      <w:r w:rsidR="00554B31">
        <w:t xml:space="preserve"> </w:t>
      </w:r>
      <w:r w:rsidR="001350F1" w:rsidRPr="001350F1">
        <w:t xml:space="preserve">mens TLC-pladen klargøres. </w:t>
      </w:r>
    </w:p>
    <w:p w14:paraId="3BF74D3D" w14:textId="0C05A30B" w:rsidR="001350F1" w:rsidRDefault="001350F1" w:rsidP="004906C2">
      <w:pPr>
        <w:pStyle w:val="Listeafsnit"/>
        <w:numPr>
          <w:ilvl w:val="0"/>
          <w:numId w:val="18"/>
        </w:numPr>
        <w:spacing w:line="360" w:lineRule="auto"/>
      </w:pPr>
      <w:r w:rsidRPr="001350F1">
        <w:t xml:space="preserve">Fremstil opløsninger af råprodukt, omkrystalliseret produkt, købt acetylsalicylsyre og salicylsyre. Opløs </w:t>
      </w:r>
      <w:r w:rsidR="00630A09">
        <w:t xml:space="preserve">en spatelspids </w:t>
      </w:r>
      <w:r w:rsidRPr="001350F1">
        <w:t xml:space="preserve">af hvert af stofferne i ca. 1,5 mL ethanol. </w:t>
      </w:r>
    </w:p>
    <w:p w14:paraId="2394B0E6" w14:textId="49D1C04F" w:rsidR="001350F1" w:rsidRDefault="001350F1" w:rsidP="004906C2">
      <w:pPr>
        <w:pStyle w:val="Listeafsnit"/>
        <w:numPr>
          <w:ilvl w:val="0"/>
          <w:numId w:val="18"/>
        </w:numPr>
        <w:spacing w:line="360" w:lineRule="auto"/>
      </w:pPr>
      <w:r w:rsidRPr="001350F1">
        <w:t xml:space="preserve">Udklip en TLC-plade – størrelsen afpasses efter kromatografikarret. Tegn en let blyantstreg ca. 1 cm fra bunden af TLC-pladen og markér hvor prøverne skal påsættes, </w:t>
      </w:r>
      <w:r w:rsidRPr="004B4805">
        <w:t>se figur</w:t>
      </w:r>
      <w:r w:rsidR="00AE11C2" w:rsidRPr="004B4805">
        <w:t xml:space="preserve"> 3</w:t>
      </w:r>
      <w:r w:rsidRPr="004B4805">
        <w:t>.</w:t>
      </w:r>
      <w:r w:rsidRPr="001350F1">
        <w:t xml:space="preserve"> </w:t>
      </w:r>
    </w:p>
    <w:p w14:paraId="72D21B72" w14:textId="4550F3E9" w:rsidR="00D27F19" w:rsidRDefault="001350F1" w:rsidP="004906C2">
      <w:pPr>
        <w:pStyle w:val="Listeafsnit"/>
        <w:numPr>
          <w:ilvl w:val="0"/>
          <w:numId w:val="18"/>
        </w:numPr>
        <w:spacing w:line="360" w:lineRule="auto"/>
      </w:pPr>
      <w:r w:rsidRPr="001350F1">
        <w:t>Afsæt prøverne af opløsninger</w:t>
      </w:r>
      <w:r w:rsidR="0002264C">
        <w:t>ne</w:t>
      </w:r>
      <w:r w:rsidRPr="001350F1">
        <w:t xml:space="preserve"> med</w:t>
      </w:r>
      <w:r>
        <w:t xml:space="preserve"> kapillærrør.</w:t>
      </w:r>
      <w:r w:rsidR="00D27F19">
        <w:t xml:space="preserve"> </w:t>
      </w:r>
    </w:p>
    <w:p w14:paraId="6539B8AC" w14:textId="77777777" w:rsidR="00D27F19" w:rsidRDefault="00D27F19" w:rsidP="004906C2">
      <w:pPr>
        <w:pStyle w:val="Listeafsnit"/>
        <w:numPr>
          <w:ilvl w:val="0"/>
          <w:numId w:val="18"/>
        </w:numPr>
        <w:spacing w:line="360" w:lineRule="auto"/>
      </w:pPr>
      <w:r w:rsidRPr="00D27F19">
        <w:t xml:space="preserve">Lad pletterne tørre og sæt derefter TLC-pladen ned i kromatografikarret. </w:t>
      </w:r>
    </w:p>
    <w:p w14:paraId="16EF83D8" w14:textId="1D7B5EBB" w:rsidR="00D27F19" w:rsidRDefault="00D27F19" w:rsidP="004906C2">
      <w:pPr>
        <w:pStyle w:val="Listeafsnit"/>
        <w:numPr>
          <w:ilvl w:val="0"/>
          <w:numId w:val="18"/>
        </w:numPr>
        <w:spacing w:line="360" w:lineRule="auto"/>
      </w:pPr>
      <w:r w:rsidRPr="00D27F19">
        <w:t xml:space="preserve">Når løbevæsken er løbet ca. 5 cm op ad TLC-pladen, tages pladen op. </w:t>
      </w:r>
      <w:r w:rsidR="007600D4">
        <w:t>Marker</w:t>
      </w:r>
      <w:r w:rsidR="00F77A4B">
        <w:t xml:space="preserve"> væskefron</w:t>
      </w:r>
      <w:r w:rsidR="00351A77">
        <w:t>ten.</w:t>
      </w:r>
    </w:p>
    <w:p w14:paraId="4622196F" w14:textId="57206AA9" w:rsidR="00D27F19" w:rsidRDefault="00D27F19" w:rsidP="004906C2">
      <w:pPr>
        <w:pStyle w:val="Listeafsnit"/>
        <w:numPr>
          <w:ilvl w:val="0"/>
          <w:numId w:val="18"/>
        </w:numPr>
        <w:spacing w:line="360" w:lineRule="auto"/>
      </w:pPr>
      <w:r w:rsidRPr="00D27F19">
        <w:t xml:space="preserve">Hold pladen under en </w:t>
      </w:r>
      <w:r w:rsidR="00DF1C1A">
        <w:t>UV</w:t>
      </w:r>
      <w:r w:rsidRPr="00D27F19">
        <w:t>-lampe og observér hvor der er nogle lysende pletter. Tag et billede af TLC-pladen,</w:t>
      </w:r>
      <w:r>
        <w:t xml:space="preserve"> </w:t>
      </w:r>
      <w:r w:rsidRPr="00D27F19">
        <w:t xml:space="preserve">mens den er under </w:t>
      </w:r>
      <w:r w:rsidR="00DF1C1A">
        <w:t>UV</w:t>
      </w:r>
      <w:r w:rsidRPr="00D27F19">
        <w:t xml:space="preserve">-lampen. </w:t>
      </w:r>
    </w:p>
    <w:p w14:paraId="0DCF08F3" w14:textId="77777777" w:rsidR="006C6486" w:rsidRDefault="006C6486" w:rsidP="006C6486"/>
    <w:p w14:paraId="2C859C0D" w14:textId="6897E0A2" w:rsidR="005663A6" w:rsidRDefault="005663A6" w:rsidP="00736C8D">
      <w:pPr>
        <w:spacing w:line="360" w:lineRule="auto"/>
      </w:pPr>
      <w:r w:rsidRPr="005663A6">
        <w:rPr>
          <w:b/>
          <w:bCs/>
        </w:rPr>
        <w:t>Smeltepunktsbestemmelse</w:t>
      </w:r>
      <w:r w:rsidR="00F60F5C">
        <w:rPr>
          <w:b/>
          <w:bCs/>
        </w:rPr>
        <w:t xml:space="preserve"> (laves i post lab lektionen)</w:t>
      </w:r>
      <w:r w:rsidRPr="005663A6">
        <w:rPr>
          <w:b/>
          <w:bCs/>
        </w:rPr>
        <w:t>:</w:t>
      </w:r>
      <w:r w:rsidRPr="005663A6">
        <w:t xml:space="preserve"> </w:t>
      </w:r>
    </w:p>
    <w:p w14:paraId="0C65ED85" w14:textId="67BDE3F2" w:rsidR="005663A6" w:rsidRPr="00E82EBC" w:rsidRDefault="00AC797A" w:rsidP="00FF6C4E">
      <w:pPr>
        <w:pStyle w:val="Listeafsnit"/>
        <w:numPr>
          <w:ilvl w:val="0"/>
          <w:numId w:val="19"/>
        </w:numPr>
        <w:spacing w:line="360" w:lineRule="auto"/>
      </w:pPr>
      <w:r w:rsidRPr="00E82EBC">
        <w:t>Kapillær</w:t>
      </w:r>
      <w:r w:rsidR="00130CC7" w:rsidRPr="00E82EBC">
        <w:t>rør/</w:t>
      </w:r>
      <w:r w:rsidR="005663A6" w:rsidRPr="00E82EBC">
        <w:t xml:space="preserve">smeltepunktsrør </w:t>
      </w:r>
      <w:r w:rsidR="00E82EBC" w:rsidRPr="00E82EBC">
        <w:t>sættes</w:t>
      </w:r>
      <w:r w:rsidR="005663A6" w:rsidRPr="00E82EBC">
        <w:t xml:space="preserve"> ned i det omkrystalliserede produkt. </w:t>
      </w:r>
    </w:p>
    <w:p w14:paraId="1E550B69" w14:textId="072306EB" w:rsidR="005663A6" w:rsidRDefault="005663A6" w:rsidP="00FF6C4E">
      <w:pPr>
        <w:pStyle w:val="Listeafsnit"/>
        <w:numPr>
          <w:ilvl w:val="0"/>
          <w:numId w:val="19"/>
        </w:numPr>
        <w:spacing w:line="360" w:lineRule="auto"/>
      </w:pPr>
      <w:r w:rsidRPr="005663A6">
        <w:t xml:space="preserve">Stik røret ind i smeltepunktsapparatet og indstil apparatet så det laver en hurtig opvarmning. </w:t>
      </w:r>
    </w:p>
    <w:p w14:paraId="7F07F6B4" w14:textId="14F120AC" w:rsidR="005663A6" w:rsidRDefault="005663A6" w:rsidP="00FF6C4E">
      <w:pPr>
        <w:pStyle w:val="Listeafsnit"/>
        <w:numPr>
          <w:ilvl w:val="0"/>
          <w:numId w:val="19"/>
        </w:numPr>
        <w:spacing w:line="360" w:lineRule="auto"/>
      </w:pPr>
      <w:r w:rsidRPr="005663A6">
        <w:t xml:space="preserve">Aflæs temperaturen når alt stof er smeltet. Notér </w:t>
      </w:r>
      <w:r w:rsidR="00F27185">
        <w:t>dette i tabellen under Resultater</w:t>
      </w:r>
      <w:r w:rsidRPr="005663A6">
        <w:t xml:space="preserve">. </w:t>
      </w:r>
    </w:p>
    <w:p w14:paraId="43BF2033" w14:textId="77777777" w:rsidR="00851FB3" w:rsidRDefault="00851FB3" w:rsidP="00851FB3">
      <w:pPr>
        <w:spacing w:line="360" w:lineRule="auto"/>
        <w:rPr>
          <w:b/>
          <w:bCs/>
        </w:rPr>
      </w:pPr>
    </w:p>
    <w:p w14:paraId="6995E696" w14:textId="7668BACA" w:rsidR="006C6486" w:rsidRPr="00233C86" w:rsidRDefault="00984071" w:rsidP="00984071">
      <w:pPr>
        <w:rPr>
          <w:b/>
          <w:bCs/>
        </w:rPr>
      </w:pPr>
      <w:r>
        <w:rPr>
          <w:b/>
          <w:bCs/>
        </w:rPr>
        <w:t xml:space="preserve">Affaldshåndtering: </w:t>
      </w:r>
      <w:r w:rsidR="005663A6" w:rsidRPr="00233C86">
        <w:rPr>
          <w:b/>
          <w:bCs/>
        </w:rPr>
        <w:t>Alle opløsninger hældes i dunken til organisk affald.</w:t>
      </w:r>
    </w:p>
    <w:p w14:paraId="0D34F764" w14:textId="77777777" w:rsidR="005663A6" w:rsidRDefault="005663A6" w:rsidP="006C6486"/>
    <w:p w14:paraId="5189F97E" w14:textId="5F027849" w:rsidR="005663A6" w:rsidRDefault="00A6071B" w:rsidP="00A6071B">
      <w:pPr>
        <w:pStyle w:val="Overskrift2"/>
      </w:pPr>
      <w:r>
        <w:t>Resultater</w:t>
      </w:r>
    </w:p>
    <w:p w14:paraId="7DE45558" w14:textId="059A5F0A" w:rsidR="008A255C" w:rsidRDefault="00964511" w:rsidP="00A6071B">
      <w:r>
        <w:t>Syntese</w:t>
      </w:r>
      <w:r w:rsidR="00F47DBC">
        <w:t xml:space="preserve"> og smeltepunkt</w:t>
      </w:r>
      <w:r w:rsidR="00940504">
        <w:t>sbestemmelse</w:t>
      </w:r>
    </w:p>
    <w:tbl>
      <w:tblPr>
        <w:tblStyle w:val="Gittertabel4-farve2"/>
        <w:tblW w:w="0" w:type="auto"/>
        <w:jc w:val="center"/>
        <w:tblLook w:val="04A0" w:firstRow="1" w:lastRow="0" w:firstColumn="1" w:lastColumn="0" w:noHBand="0" w:noVBand="1"/>
      </w:tblPr>
      <w:tblGrid>
        <w:gridCol w:w="2675"/>
        <w:gridCol w:w="2675"/>
        <w:gridCol w:w="2675"/>
        <w:gridCol w:w="2431"/>
      </w:tblGrid>
      <w:tr w:rsidR="00F260BE" w14:paraId="40912625" w14:textId="421FD615" w:rsidTr="00D67B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75" w:type="dxa"/>
            <w:shd w:val="clear" w:color="auto" w:fill="C00000"/>
            <w:vAlign w:val="center"/>
          </w:tcPr>
          <w:p w14:paraId="70C91865" w14:textId="45390951" w:rsidR="00F260BE" w:rsidRPr="006D3F5B" w:rsidRDefault="00F260BE" w:rsidP="00D67B04">
            <w:pPr>
              <w:jc w:val="center"/>
              <w:rPr>
                <w:sz w:val="20"/>
                <w:szCs w:val="22"/>
              </w:rPr>
            </w:pPr>
            <w:r w:rsidRPr="006D3F5B">
              <w:rPr>
                <w:sz w:val="20"/>
                <w:szCs w:val="22"/>
              </w:rPr>
              <w:t>Masse af  omkrystalliseret produkt</w:t>
            </w:r>
          </w:p>
        </w:tc>
        <w:tc>
          <w:tcPr>
            <w:tcW w:w="2675" w:type="dxa"/>
            <w:shd w:val="clear" w:color="auto" w:fill="C00000"/>
            <w:vAlign w:val="center"/>
          </w:tcPr>
          <w:p w14:paraId="6DB9CB75" w14:textId="26FF8A8A" w:rsidR="00F260BE" w:rsidRPr="006D3F5B" w:rsidRDefault="00F260BE" w:rsidP="00D67B04">
            <w:pPr>
              <w:jc w:val="center"/>
              <w:cnfStyle w:val="100000000000" w:firstRow="1" w:lastRow="0" w:firstColumn="0" w:lastColumn="0" w:oddVBand="0" w:evenVBand="0" w:oddHBand="0" w:evenHBand="0" w:firstRowFirstColumn="0" w:firstRowLastColumn="0" w:lastRowFirstColumn="0" w:lastRowLastColumn="0"/>
              <w:rPr>
                <w:sz w:val="20"/>
                <w:szCs w:val="22"/>
              </w:rPr>
            </w:pPr>
            <w:r w:rsidRPr="006D3F5B">
              <w:rPr>
                <w:sz w:val="20"/>
                <w:szCs w:val="22"/>
              </w:rPr>
              <w:t>Smeltepunkt for omkrystalliseret produkt</w:t>
            </w:r>
          </w:p>
        </w:tc>
        <w:tc>
          <w:tcPr>
            <w:tcW w:w="2675" w:type="dxa"/>
            <w:shd w:val="clear" w:color="auto" w:fill="C00000"/>
            <w:vAlign w:val="center"/>
          </w:tcPr>
          <w:p w14:paraId="0BBF2F95" w14:textId="5B44F4A7" w:rsidR="00F260BE" w:rsidRPr="006D3F5B" w:rsidRDefault="00F260BE" w:rsidP="00D67B04">
            <w:pPr>
              <w:jc w:val="center"/>
              <w:cnfStyle w:val="100000000000" w:firstRow="1" w:lastRow="0" w:firstColumn="0" w:lastColumn="0" w:oddVBand="0" w:evenVBand="0" w:oddHBand="0" w:evenHBand="0" w:firstRowFirstColumn="0" w:firstRowLastColumn="0" w:lastRowFirstColumn="0" w:lastRowLastColumn="0"/>
              <w:rPr>
                <w:sz w:val="20"/>
                <w:szCs w:val="22"/>
              </w:rPr>
            </w:pPr>
            <w:r w:rsidRPr="006D3F5B">
              <w:rPr>
                <w:sz w:val="20"/>
                <w:szCs w:val="22"/>
              </w:rPr>
              <w:t>Tabelværdi for  smeltepunktet af acetylsalicylsyre</w:t>
            </w:r>
          </w:p>
        </w:tc>
        <w:tc>
          <w:tcPr>
            <w:tcW w:w="2431" w:type="dxa"/>
            <w:shd w:val="clear" w:color="auto" w:fill="C00000"/>
            <w:vAlign w:val="center"/>
          </w:tcPr>
          <w:p w14:paraId="5A64C76F" w14:textId="0650F6EA" w:rsidR="00F260BE" w:rsidRPr="006D3F5B" w:rsidRDefault="00F260BE" w:rsidP="00D67B04">
            <w:pPr>
              <w:jc w:val="center"/>
              <w:cnfStyle w:val="100000000000" w:firstRow="1" w:lastRow="0" w:firstColumn="0" w:lastColumn="0" w:oddVBand="0" w:evenVBand="0" w:oddHBand="0" w:evenHBand="0" w:firstRowFirstColumn="0" w:firstRowLastColumn="0" w:lastRowFirstColumn="0" w:lastRowLastColumn="0"/>
              <w:rPr>
                <w:sz w:val="20"/>
                <w:szCs w:val="22"/>
              </w:rPr>
            </w:pPr>
            <w:r>
              <w:rPr>
                <w:sz w:val="20"/>
                <w:szCs w:val="22"/>
              </w:rPr>
              <w:t>Tabelværdi for smeltepunkt af salicylsyre</w:t>
            </w:r>
          </w:p>
        </w:tc>
      </w:tr>
      <w:tr w:rsidR="00F260BE" w14:paraId="5E20F311" w14:textId="4EB859E9" w:rsidTr="00F260B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75" w:type="dxa"/>
            <w:shd w:val="clear" w:color="auto" w:fill="FFE1E1"/>
          </w:tcPr>
          <w:p w14:paraId="1B712A11" w14:textId="77777777" w:rsidR="00F260BE" w:rsidRDefault="00F260BE" w:rsidP="00A6071B"/>
        </w:tc>
        <w:tc>
          <w:tcPr>
            <w:tcW w:w="2675" w:type="dxa"/>
            <w:shd w:val="clear" w:color="auto" w:fill="FFE1E1"/>
          </w:tcPr>
          <w:p w14:paraId="5F6792BC" w14:textId="77777777" w:rsidR="00F260BE" w:rsidRDefault="00F260BE" w:rsidP="00A6071B">
            <w:pPr>
              <w:cnfStyle w:val="000000100000" w:firstRow="0" w:lastRow="0" w:firstColumn="0" w:lastColumn="0" w:oddVBand="0" w:evenVBand="0" w:oddHBand="1" w:evenHBand="0" w:firstRowFirstColumn="0" w:firstRowLastColumn="0" w:lastRowFirstColumn="0" w:lastRowLastColumn="0"/>
            </w:pPr>
          </w:p>
        </w:tc>
        <w:tc>
          <w:tcPr>
            <w:tcW w:w="2675" w:type="dxa"/>
            <w:shd w:val="clear" w:color="auto" w:fill="FFE1E1"/>
          </w:tcPr>
          <w:p w14:paraId="237517DB" w14:textId="77777777" w:rsidR="00F260BE" w:rsidRDefault="00F260BE" w:rsidP="00A6071B">
            <w:pPr>
              <w:cnfStyle w:val="000000100000" w:firstRow="0" w:lastRow="0" w:firstColumn="0" w:lastColumn="0" w:oddVBand="0" w:evenVBand="0" w:oddHBand="1" w:evenHBand="0" w:firstRowFirstColumn="0" w:firstRowLastColumn="0" w:lastRowFirstColumn="0" w:lastRowLastColumn="0"/>
            </w:pPr>
          </w:p>
        </w:tc>
        <w:tc>
          <w:tcPr>
            <w:tcW w:w="2431" w:type="dxa"/>
            <w:shd w:val="clear" w:color="auto" w:fill="FFE1E1"/>
          </w:tcPr>
          <w:p w14:paraId="115E29BF" w14:textId="77777777" w:rsidR="00F260BE" w:rsidRDefault="00F260BE" w:rsidP="00A6071B">
            <w:pPr>
              <w:cnfStyle w:val="000000100000" w:firstRow="0" w:lastRow="0" w:firstColumn="0" w:lastColumn="0" w:oddVBand="0" w:evenVBand="0" w:oddHBand="1" w:evenHBand="0" w:firstRowFirstColumn="0" w:firstRowLastColumn="0" w:lastRowFirstColumn="0" w:lastRowLastColumn="0"/>
            </w:pPr>
          </w:p>
        </w:tc>
      </w:tr>
    </w:tbl>
    <w:p w14:paraId="736EC67C" w14:textId="77777777" w:rsidR="00A6071B" w:rsidRDefault="00A6071B" w:rsidP="00A6071B"/>
    <w:p w14:paraId="231B8264" w14:textId="77777777" w:rsidR="005B1145" w:rsidRDefault="005B1145" w:rsidP="00A6071B">
      <w:pPr>
        <w:rPr>
          <w:rStyle w:val="Overskrift2Tegn"/>
        </w:rPr>
      </w:pPr>
    </w:p>
    <w:p w14:paraId="0A6357AF" w14:textId="2B4680D8" w:rsidR="004C28C3" w:rsidRDefault="004C28C3" w:rsidP="00A6071B">
      <w:pPr>
        <w:rPr>
          <w:rStyle w:val="Overskrift2Tegn"/>
        </w:rPr>
      </w:pPr>
    </w:p>
    <w:p w14:paraId="3975C594" w14:textId="20277878" w:rsidR="006C1996" w:rsidRDefault="006C1996" w:rsidP="00A6071B">
      <w:r w:rsidRPr="006C1996">
        <w:rPr>
          <w:rStyle w:val="Overskrift2Tegn"/>
        </w:rPr>
        <w:t>Efterbehandling</w:t>
      </w:r>
      <w:r w:rsidRPr="006C1996">
        <w:t xml:space="preserve"> </w:t>
      </w:r>
    </w:p>
    <w:p w14:paraId="7F10B4D2" w14:textId="77777777" w:rsidR="004F142E" w:rsidRDefault="004F142E" w:rsidP="00A6071B"/>
    <w:p w14:paraId="59CBC450" w14:textId="2485E36B" w:rsidR="006C1996" w:rsidRDefault="00FC7805" w:rsidP="00251CEE">
      <w:pPr>
        <w:pStyle w:val="Listeafsnit"/>
        <w:numPr>
          <w:ilvl w:val="0"/>
          <w:numId w:val="10"/>
        </w:numPr>
        <w:spacing w:line="276" w:lineRule="auto"/>
      </w:pPr>
      <w:r>
        <w:t>Beregn</w:t>
      </w:r>
      <w:r w:rsidR="006C1996" w:rsidRPr="006C1996">
        <w:t xml:space="preserve"> om det er salicylsyre eller ethansyreanhydrid der er den begrænsende reaktant. </w:t>
      </w:r>
    </w:p>
    <w:p w14:paraId="2D7F3AEE" w14:textId="77777777" w:rsidR="006C1996" w:rsidRDefault="006C1996" w:rsidP="00251CEE">
      <w:pPr>
        <w:pStyle w:val="Listeafsnit"/>
        <w:numPr>
          <w:ilvl w:val="0"/>
          <w:numId w:val="10"/>
        </w:numPr>
        <w:spacing w:line="276" w:lineRule="auto"/>
      </w:pPr>
      <w:r w:rsidRPr="006C1996">
        <w:t xml:space="preserve">Forklar hvorfor der tilsættes vand efter den første udkrystallisering. Inddrag et reaktionsskema i forklaringen. </w:t>
      </w:r>
    </w:p>
    <w:p w14:paraId="5CBC4260" w14:textId="77777777" w:rsidR="006C1996" w:rsidRDefault="006C1996" w:rsidP="00251CEE">
      <w:pPr>
        <w:pStyle w:val="Listeafsnit"/>
        <w:numPr>
          <w:ilvl w:val="0"/>
          <w:numId w:val="10"/>
        </w:numPr>
        <w:spacing w:line="276" w:lineRule="auto"/>
      </w:pPr>
      <w:r w:rsidRPr="006C1996">
        <w:t xml:space="preserve">Beregn det teoretiske udbytte af acetylsalicylsyre og bestem udbytteprocenten. </w:t>
      </w:r>
    </w:p>
    <w:p w14:paraId="705572B7" w14:textId="2F4B9F06" w:rsidR="006C1996" w:rsidRDefault="006C1996" w:rsidP="00251CEE">
      <w:pPr>
        <w:pStyle w:val="Listeafsnit"/>
        <w:numPr>
          <w:ilvl w:val="0"/>
          <w:numId w:val="10"/>
        </w:numPr>
        <w:spacing w:line="276" w:lineRule="auto"/>
      </w:pPr>
      <w:r w:rsidRPr="006C1996">
        <w:t>Analysér billede</w:t>
      </w:r>
      <w:r w:rsidR="00322715">
        <w:t>t</w:t>
      </w:r>
      <w:r w:rsidRPr="006C1996">
        <w:t xml:space="preserve"> af TLC-pladen. </w:t>
      </w:r>
    </w:p>
    <w:p w14:paraId="63FD72DC" w14:textId="40E24757" w:rsidR="006C1996" w:rsidRDefault="006C1996" w:rsidP="00251CEE">
      <w:pPr>
        <w:pStyle w:val="Listeafsnit"/>
        <w:numPr>
          <w:ilvl w:val="0"/>
          <w:numId w:val="10"/>
        </w:numPr>
        <w:spacing w:line="276" w:lineRule="auto"/>
      </w:pPr>
      <w:r w:rsidRPr="006C1996">
        <w:t>Sammenlign smeltepunktet for det omkrystalliserede produkt og tabelværdien for acetylsalicylsyre</w:t>
      </w:r>
      <w:r w:rsidR="00F60F5C">
        <w:t xml:space="preserve"> og salicylsyre</w:t>
      </w:r>
      <w:r w:rsidRPr="006C1996">
        <w:t xml:space="preserve">. </w:t>
      </w:r>
    </w:p>
    <w:p w14:paraId="0DC04EC2" w14:textId="77777777" w:rsidR="004F142E" w:rsidRDefault="006C1996" w:rsidP="00251CEE">
      <w:pPr>
        <w:pStyle w:val="Listeafsnit"/>
        <w:numPr>
          <w:ilvl w:val="0"/>
          <w:numId w:val="10"/>
        </w:numPr>
        <w:spacing w:line="276" w:lineRule="auto"/>
      </w:pPr>
      <w:r w:rsidRPr="006C1996">
        <w:t xml:space="preserve">Kommentér udbytteprocenten, TLC- og smeltepunktsanalyse, og diskutér herunder mulige fejlkilder i forbindelse med syntesen og omkrystalliseringen. </w:t>
      </w:r>
    </w:p>
    <w:p w14:paraId="22E1C051" w14:textId="77777777" w:rsidR="004F142E" w:rsidRDefault="004F142E" w:rsidP="00A6071B"/>
    <w:sectPr w:rsidR="004F142E" w:rsidSect="008A4F9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B2C"/>
    <w:multiLevelType w:val="hybridMultilevel"/>
    <w:tmpl w:val="2384D130"/>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EC6F38"/>
    <w:multiLevelType w:val="hybridMultilevel"/>
    <w:tmpl w:val="205CB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9C0A26"/>
    <w:multiLevelType w:val="hybridMultilevel"/>
    <w:tmpl w:val="287EC4E6"/>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B3F7228"/>
    <w:multiLevelType w:val="hybridMultilevel"/>
    <w:tmpl w:val="80B8A40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1324087"/>
    <w:multiLevelType w:val="hybridMultilevel"/>
    <w:tmpl w:val="DF9632C4"/>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3EE0E6F"/>
    <w:multiLevelType w:val="hybridMultilevel"/>
    <w:tmpl w:val="B1A459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EED745A"/>
    <w:multiLevelType w:val="hybridMultilevel"/>
    <w:tmpl w:val="34FE65C0"/>
    <w:lvl w:ilvl="0" w:tplc="0406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8225E3"/>
    <w:multiLevelType w:val="hybridMultilevel"/>
    <w:tmpl w:val="2D56B2CA"/>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51128F"/>
    <w:multiLevelType w:val="hybridMultilevel"/>
    <w:tmpl w:val="6778F8D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9646C0D"/>
    <w:multiLevelType w:val="hybridMultilevel"/>
    <w:tmpl w:val="6A04897C"/>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B4E5329"/>
    <w:multiLevelType w:val="hybridMultilevel"/>
    <w:tmpl w:val="23003E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6A2994"/>
    <w:multiLevelType w:val="hybridMultilevel"/>
    <w:tmpl w:val="AE4C21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34E26AB"/>
    <w:multiLevelType w:val="hybridMultilevel"/>
    <w:tmpl w:val="338CCC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8E91EC8"/>
    <w:multiLevelType w:val="hybridMultilevel"/>
    <w:tmpl w:val="4E72BF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D567C96"/>
    <w:multiLevelType w:val="hybridMultilevel"/>
    <w:tmpl w:val="8F80B89E"/>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D5720DB"/>
    <w:multiLevelType w:val="hybridMultilevel"/>
    <w:tmpl w:val="91B09E52"/>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311440A"/>
    <w:multiLevelType w:val="hybridMultilevel"/>
    <w:tmpl w:val="D3B67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3E047FA"/>
    <w:multiLevelType w:val="hybridMultilevel"/>
    <w:tmpl w:val="38F6A35A"/>
    <w:lvl w:ilvl="0" w:tplc="0406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B0F6D95"/>
    <w:multiLevelType w:val="hybridMultilevel"/>
    <w:tmpl w:val="572A6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EA6238"/>
    <w:multiLevelType w:val="hybridMultilevel"/>
    <w:tmpl w:val="5DA4E4F4"/>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904552">
    <w:abstractNumId w:val="8"/>
  </w:num>
  <w:num w:numId="2" w16cid:durableId="1624966321">
    <w:abstractNumId w:val="5"/>
  </w:num>
  <w:num w:numId="3" w16cid:durableId="1916696045">
    <w:abstractNumId w:val="13"/>
  </w:num>
  <w:num w:numId="4" w16cid:durableId="1610621257">
    <w:abstractNumId w:val="3"/>
  </w:num>
  <w:num w:numId="5" w16cid:durableId="13386251">
    <w:abstractNumId w:val="11"/>
  </w:num>
  <w:num w:numId="6" w16cid:durableId="2074815862">
    <w:abstractNumId w:val="10"/>
  </w:num>
  <w:num w:numId="7" w16cid:durableId="1593396968">
    <w:abstractNumId w:val="16"/>
  </w:num>
  <w:num w:numId="8" w16cid:durableId="625893358">
    <w:abstractNumId w:val="1"/>
  </w:num>
  <w:num w:numId="9" w16cid:durableId="111822274">
    <w:abstractNumId w:val="18"/>
  </w:num>
  <w:num w:numId="10" w16cid:durableId="633680377">
    <w:abstractNumId w:val="12"/>
  </w:num>
  <w:num w:numId="11" w16cid:durableId="1127895903">
    <w:abstractNumId w:val="19"/>
  </w:num>
  <w:num w:numId="12" w16cid:durableId="33777617">
    <w:abstractNumId w:val="6"/>
  </w:num>
  <w:num w:numId="13" w16cid:durableId="1070080789">
    <w:abstractNumId w:val="2"/>
  </w:num>
  <w:num w:numId="14" w16cid:durableId="247270547">
    <w:abstractNumId w:val="17"/>
  </w:num>
  <w:num w:numId="15" w16cid:durableId="625161808">
    <w:abstractNumId w:val="14"/>
  </w:num>
  <w:num w:numId="16" w16cid:durableId="1814056972">
    <w:abstractNumId w:val="0"/>
  </w:num>
  <w:num w:numId="17" w16cid:durableId="929043331">
    <w:abstractNumId w:val="15"/>
  </w:num>
  <w:num w:numId="18" w16cid:durableId="1310818111">
    <w:abstractNumId w:val="4"/>
  </w:num>
  <w:num w:numId="19" w16cid:durableId="2126582906">
    <w:abstractNumId w:val="9"/>
  </w:num>
  <w:num w:numId="20" w16cid:durableId="532033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BE"/>
    <w:rsid w:val="000032EA"/>
    <w:rsid w:val="00004401"/>
    <w:rsid w:val="00004AA1"/>
    <w:rsid w:val="0001532A"/>
    <w:rsid w:val="00015B58"/>
    <w:rsid w:val="00016B50"/>
    <w:rsid w:val="0002264C"/>
    <w:rsid w:val="0003198A"/>
    <w:rsid w:val="000424DA"/>
    <w:rsid w:val="00075FC4"/>
    <w:rsid w:val="00081D7C"/>
    <w:rsid w:val="00082A5B"/>
    <w:rsid w:val="000857E7"/>
    <w:rsid w:val="00093F68"/>
    <w:rsid w:val="000A191C"/>
    <w:rsid w:val="000B27FC"/>
    <w:rsid w:val="000C04D7"/>
    <w:rsid w:val="000C1456"/>
    <w:rsid w:val="000C1B37"/>
    <w:rsid w:val="000D6C95"/>
    <w:rsid w:val="000E3368"/>
    <w:rsid w:val="00124B86"/>
    <w:rsid w:val="001263AB"/>
    <w:rsid w:val="00130CC7"/>
    <w:rsid w:val="001350F1"/>
    <w:rsid w:val="00141F49"/>
    <w:rsid w:val="001460BE"/>
    <w:rsid w:val="001826F1"/>
    <w:rsid w:val="001A2485"/>
    <w:rsid w:val="001A4CFD"/>
    <w:rsid w:val="001A735A"/>
    <w:rsid w:val="001B2099"/>
    <w:rsid w:val="001B25A4"/>
    <w:rsid w:val="001B47DD"/>
    <w:rsid w:val="001C0FEE"/>
    <w:rsid w:val="001C3982"/>
    <w:rsid w:val="001C622E"/>
    <w:rsid w:val="001D2DB1"/>
    <w:rsid w:val="001D6A97"/>
    <w:rsid w:val="001F224E"/>
    <w:rsid w:val="00224338"/>
    <w:rsid w:val="00232527"/>
    <w:rsid w:val="00233C86"/>
    <w:rsid w:val="00251CEE"/>
    <w:rsid w:val="00273123"/>
    <w:rsid w:val="00274E98"/>
    <w:rsid w:val="002C742F"/>
    <w:rsid w:val="00305159"/>
    <w:rsid w:val="00322715"/>
    <w:rsid w:val="00336464"/>
    <w:rsid w:val="00351A77"/>
    <w:rsid w:val="00357C6B"/>
    <w:rsid w:val="00367DF6"/>
    <w:rsid w:val="003739C6"/>
    <w:rsid w:val="00386FE4"/>
    <w:rsid w:val="003A231C"/>
    <w:rsid w:val="003A5954"/>
    <w:rsid w:val="003F4ECB"/>
    <w:rsid w:val="00402118"/>
    <w:rsid w:val="004163FC"/>
    <w:rsid w:val="0042306A"/>
    <w:rsid w:val="004253CB"/>
    <w:rsid w:val="00445004"/>
    <w:rsid w:val="00473AD1"/>
    <w:rsid w:val="004906C2"/>
    <w:rsid w:val="004B2350"/>
    <w:rsid w:val="004B4805"/>
    <w:rsid w:val="004B5F40"/>
    <w:rsid w:val="004C28C3"/>
    <w:rsid w:val="004C30BD"/>
    <w:rsid w:val="004D21F6"/>
    <w:rsid w:val="004D3AD6"/>
    <w:rsid w:val="004D56CB"/>
    <w:rsid w:val="004E2F24"/>
    <w:rsid w:val="004E4377"/>
    <w:rsid w:val="004F142E"/>
    <w:rsid w:val="005138E4"/>
    <w:rsid w:val="0052139F"/>
    <w:rsid w:val="00522E0D"/>
    <w:rsid w:val="005270BA"/>
    <w:rsid w:val="00537ADE"/>
    <w:rsid w:val="00551C98"/>
    <w:rsid w:val="00554B31"/>
    <w:rsid w:val="00556AFA"/>
    <w:rsid w:val="005663A6"/>
    <w:rsid w:val="005870B1"/>
    <w:rsid w:val="0059544F"/>
    <w:rsid w:val="005B1145"/>
    <w:rsid w:val="005B1D0A"/>
    <w:rsid w:val="005B68A1"/>
    <w:rsid w:val="005C1C11"/>
    <w:rsid w:val="005C3909"/>
    <w:rsid w:val="005C4A58"/>
    <w:rsid w:val="00614536"/>
    <w:rsid w:val="00623144"/>
    <w:rsid w:val="00630A09"/>
    <w:rsid w:val="00640238"/>
    <w:rsid w:val="00656F77"/>
    <w:rsid w:val="00665352"/>
    <w:rsid w:val="006679CD"/>
    <w:rsid w:val="00683071"/>
    <w:rsid w:val="00696D23"/>
    <w:rsid w:val="006B7FC4"/>
    <w:rsid w:val="006C1996"/>
    <w:rsid w:val="006C6486"/>
    <w:rsid w:val="006D36B3"/>
    <w:rsid w:val="006D3F5B"/>
    <w:rsid w:val="006D4B76"/>
    <w:rsid w:val="006D72E1"/>
    <w:rsid w:val="006F25A8"/>
    <w:rsid w:val="0070063D"/>
    <w:rsid w:val="007031FE"/>
    <w:rsid w:val="00704D66"/>
    <w:rsid w:val="00706BBD"/>
    <w:rsid w:val="007111DB"/>
    <w:rsid w:val="00721B61"/>
    <w:rsid w:val="00736C8D"/>
    <w:rsid w:val="007424BD"/>
    <w:rsid w:val="00746275"/>
    <w:rsid w:val="007600D4"/>
    <w:rsid w:val="007729D5"/>
    <w:rsid w:val="00794982"/>
    <w:rsid w:val="007B50DE"/>
    <w:rsid w:val="007C443E"/>
    <w:rsid w:val="007E6217"/>
    <w:rsid w:val="007F1313"/>
    <w:rsid w:val="00811BE6"/>
    <w:rsid w:val="00842F28"/>
    <w:rsid w:val="00851FB3"/>
    <w:rsid w:val="00855B24"/>
    <w:rsid w:val="00872BC8"/>
    <w:rsid w:val="008934E8"/>
    <w:rsid w:val="008A255C"/>
    <w:rsid w:val="008A48B1"/>
    <w:rsid w:val="008A4F9E"/>
    <w:rsid w:val="008C612E"/>
    <w:rsid w:val="008D7D64"/>
    <w:rsid w:val="00902370"/>
    <w:rsid w:val="00927BDB"/>
    <w:rsid w:val="00940504"/>
    <w:rsid w:val="00943F44"/>
    <w:rsid w:val="009464BD"/>
    <w:rsid w:val="00952D31"/>
    <w:rsid w:val="00954974"/>
    <w:rsid w:val="00955AC3"/>
    <w:rsid w:val="00964511"/>
    <w:rsid w:val="00973961"/>
    <w:rsid w:val="00984071"/>
    <w:rsid w:val="009A1C9F"/>
    <w:rsid w:val="009B3E15"/>
    <w:rsid w:val="009D4BF8"/>
    <w:rsid w:val="009F1751"/>
    <w:rsid w:val="009F6281"/>
    <w:rsid w:val="00A169B4"/>
    <w:rsid w:val="00A17E4F"/>
    <w:rsid w:val="00A3148D"/>
    <w:rsid w:val="00A42BC4"/>
    <w:rsid w:val="00A53F67"/>
    <w:rsid w:val="00A6071B"/>
    <w:rsid w:val="00A67613"/>
    <w:rsid w:val="00A72C24"/>
    <w:rsid w:val="00A84D21"/>
    <w:rsid w:val="00A861CC"/>
    <w:rsid w:val="00A916D8"/>
    <w:rsid w:val="00A91C07"/>
    <w:rsid w:val="00AB145F"/>
    <w:rsid w:val="00AC797A"/>
    <w:rsid w:val="00AC7FD6"/>
    <w:rsid w:val="00AE11C2"/>
    <w:rsid w:val="00AE2E42"/>
    <w:rsid w:val="00B2096E"/>
    <w:rsid w:val="00B22157"/>
    <w:rsid w:val="00B24190"/>
    <w:rsid w:val="00B30D53"/>
    <w:rsid w:val="00B3788D"/>
    <w:rsid w:val="00B46B85"/>
    <w:rsid w:val="00B54782"/>
    <w:rsid w:val="00B54846"/>
    <w:rsid w:val="00BA000B"/>
    <w:rsid w:val="00BA05A7"/>
    <w:rsid w:val="00BA71FC"/>
    <w:rsid w:val="00BC7618"/>
    <w:rsid w:val="00C16B6B"/>
    <w:rsid w:val="00C21CA9"/>
    <w:rsid w:val="00C23212"/>
    <w:rsid w:val="00C32141"/>
    <w:rsid w:val="00C4256F"/>
    <w:rsid w:val="00C507B5"/>
    <w:rsid w:val="00C53203"/>
    <w:rsid w:val="00C70236"/>
    <w:rsid w:val="00C84BE9"/>
    <w:rsid w:val="00C9370B"/>
    <w:rsid w:val="00CC636F"/>
    <w:rsid w:val="00CD7A5E"/>
    <w:rsid w:val="00CE5FF6"/>
    <w:rsid w:val="00CF319A"/>
    <w:rsid w:val="00D27F19"/>
    <w:rsid w:val="00D341DC"/>
    <w:rsid w:val="00D67B04"/>
    <w:rsid w:val="00D77DEC"/>
    <w:rsid w:val="00DA71BE"/>
    <w:rsid w:val="00DB3DA4"/>
    <w:rsid w:val="00DD32E9"/>
    <w:rsid w:val="00DF1C1A"/>
    <w:rsid w:val="00E02248"/>
    <w:rsid w:val="00E1239D"/>
    <w:rsid w:val="00E471BC"/>
    <w:rsid w:val="00E60ACD"/>
    <w:rsid w:val="00E6777F"/>
    <w:rsid w:val="00E75BBE"/>
    <w:rsid w:val="00E80701"/>
    <w:rsid w:val="00E823EB"/>
    <w:rsid w:val="00E82EBC"/>
    <w:rsid w:val="00E85E7A"/>
    <w:rsid w:val="00E86E6B"/>
    <w:rsid w:val="00E905F5"/>
    <w:rsid w:val="00E94901"/>
    <w:rsid w:val="00EB7D34"/>
    <w:rsid w:val="00ED1C49"/>
    <w:rsid w:val="00EE304F"/>
    <w:rsid w:val="00EF0EB9"/>
    <w:rsid w:val="00EF13AB"/>
    <w:rsid w:val="00EF25AC"/>
    <w:rsid w:val="00F120CF"/>
    <w:rsid w:val="00F139E1"/>
    <w:rsid w:val="00F14404"/>
    <w:rsid w:val="00F215E3"/>
    <w:rsid w:val="00F260BE"/>
    <w:rsid w:val="00F27185"/>
    <w:rsid w:val="00F34F4D"/>
    <w:rsid w:val="00F43E50"/>
    <w:rsid w:val="00F47DBC"/>
    <w:rsid w:val="00F5030F"/>
    <w:rsid w:val="00F60F5C"/>
    <w:rsid w:val="00F60FBA"/>
    <w:rsid w:val="00F7300C"/>
    <w:rsid w:val="00F77A4B"/>
    <w:rsid w:val="00F77AA6"/>
    <w:rsid w:val="00F835AD"/>
    <w:rsid w:val="00F84C0F"/>
    <w:rsid w:val="00F923CE"/>
    <w:rsid w:val="00F92D6F"/>
    <w:rsid w:val="00F97074"/>
    <w:rsid w:val="00FA5E88"/>
    <w:rsid w:val="00FC7805"/>
    <w:rsid w:val="00FD5AF2"/>
    <w:rsid w:val="00FF44A6"/>
    <w:rsid w:val="00FF6C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9236"/>
  <w15:chartTrackingRefBased/>
  <w15:docId w15:val="{50387457-E479-4E55-A9E5-DA94447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BA"/>
    <w:pPr>
      <w:spacing w:after="0" w:line="240" w:lineRule="auto"/>
    </w:pPr>
    <w:rPr>
      <w:rFonts w:ascii="Times New Roman" w:hAnsi="Times New Roman" w:cs="Times New Roman"/>
      <w:kern w:val="0"/>
      <w:szCs w:val="24"/>
      <w:lang w:eastAsia="da-DK"/>
      <w14:ligatures w14:val="none"/>
    </w:rPr>
  </w:style>
  <w:style w:type="paragraph" w:styleId="Overskrift1">
    <w:name w:val="heading 1"/>
    <w:basedOn w:val="Normal"/>
    <w:next w:val="Normal"/>
    <w:link w:val="Overskrift1Tegn"/>
    <w:qFormat/>
    <w:rsid w:val="00F97074"/>
    <w:pPr>
      <w:keepNext/>
      <w:spacing w:before="240" w:after="60"/>
      <w:outlineLvl w:val="0"/>
    </w:pPr>
    <w:rPr>
      <w:rFonts w:ascii="Arial" w:hAnsi="Arial" w:cs="Arial"/>
      <w:b/>
      <w:bCs/>
      <w:color w:val="C00000"/>
      <w:kern w:val="32"/>
      <w:sz w:val="32"/>
      <w:szCs w:val="32"/>
    </w:rPr>
  </w:style>
  <w:style w:type="paragraph" w:styleId="Overskrift2">
    <w:name w:val="heading 2"/>
    <w:basedOn w:val="Normal"/>
    <w:next w:val="Normal"/>
    <w:link w:val="Overskrift2Tegn"/>
    <w:qFormat/>
    <w:rsid w:val="00F97074"/>
    <w:pPr>
      <w:keepNext/>
      <w:outlineLvl w:val="1"/>
    </w:pPr>
    <w:rPr>
      <w:b/>
      <w:bCs/>
      <w:color w:val="C00000"/>
      <w:sz w:val="24"/>
    </w:rPr>
  </w:style>
  <w:style w:type="paragraph" w:styleId="Overskrift3">
    <w:name w:val="heading 3"/>
    <w:basedOn w:val="Normal"/>
    <w:next w:val="Normal"/>
    <w:link w:val="Overskrift3Tegn"/>
    <w:uiPriority w:val="9"/>
    <w:semiHidden/>
    <w:unhideWhenUsed/>
    <w:qFormat/>
    <w:rsid w:val="00E75B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75B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75BBE"/>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75BBE"/>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75BBE"/>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E75BBE"/>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75BBE"/>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97074"/>
    <w:rPr>
      <w:rFonts w:ascii="Arial" w:eastAsia="Times New Roman" w:hAnsi="Arial" w:cs="Arial"/>
      <w:b/>
      <w:bCs/>
      <w:color w:val="C00000"/>
      <w:kern w:val="32"/>
      <w:sz w:val="32"/>
      <w:szCs w:val="32"/>
      <w:lang w:eastAsia="da-DK"/>
    </w:rPr>
  </w:style>
  <w:style w:type="character" w:customStyle="1" w:styleId="Overskrift2Tegn">
    <w:name w:val="Overskrift 2 Tegn"/>
    <w:basedOn w:val="Standardskrifttypeiafsnit"/>
    <w:link w:val="Overskrift2"/>
    <w:rsid w:val="00F97074"/>
    <w:rPr>
      <w:rFonts w:ascii="Times New Roman" w:eastAsia="Times New Roman" w:hAnsi="Times New Roman" w:cs="Times New Roman"/>
      <w:b/>
      <w:bCs/>
      <w:color w:val="C00000"/>
      <w:sz w:val="24"/>
      <w:szCs w:val="24"/>
      <w:lang w:eastAsia="da-DK"/>
    </w:rPr>
  </w:style>
  <w:style w:type="character" w:customStyle="1" w:styleId="Overskrift3Tegn">
    <w:name w:val="Overskrift 3 Tegn"/>
    <w:basedOn w:val="Standardskrifttypeiafsnit"/>
    <w:link w:val="Overskrift3"/>
    <w:uiPriority w:val="9"/>
    <w:semiHidden/>
    <w:rsid w:val="00E75BBE"/>
    <w:rPr>
      <w:rFonts w:eastAsiaTheme="majorEastAsia" w:cstheme="majorBidi"/>
      <w:color w:val="2F5496" w:themeColor="accent1" w:themeShade="BF"/>
      <w:kern w:val="0"/>
      <w:sz w:val="28"/>
      <w:szCs w:val="28"/>
      <w:lang w:eastAsia="da-DK"/>
      <w14:ligatures w14:val="none"/>
    </w:rPr>
  </w:style>
  <w:style w:type="character" w:customStyle="1" w:styleId="Overskrift4Tegn">
    <w:name w:val="Overskrift 4 Tegn"/>
    <w:basedOn w:val="Standardskrifttypeiafsnit"/>
    <w:link w:val="Overskrift4"/>
    <w:uiPriority w:val="9"/>
    <w:semiHidden/>
    <w:rsid w:val="00E75BBE"/>
    <w:rPr>
      <w:rFonts w:eastAsiaTheme="majorEastAsia" w:cstheme="majorBidi"/>
      <w:i/>
      <w:iCs/>
      <w:color w:val="2F5496" w:themeColor="accent1" w:themeShade="BF"/>
      <w:kern w:val="0"/>
      <w:szCs w:val="24"/>
      <w:lang w:eastAsia="da-DK"/>
      <w14:ligatures w14:val="none"/>
    </w:rPr>
  </w:style>
  <w:style w:type="character" w:customStyle="1" w:styleId="Overskrift5Tegn">
    <w:name w:val="Overskrift 5 Tegn"/>
    <w:basedOn w:val="Standardskrifttypeiafsnit"/>
    <w:link w:val="Overskrift5"/>
    <w:uiPriority w:val="9"/>
    <w:semiHidden/>
    <w:rsid w:val="00E75BBE"/>
    <w:rPr>
      <w:rFonts w:eastAsiaTheme="majorEastAsia" w:cstheme="majorBidi"/>
      <w:color w:val="2F5496" w:themeColor="accent1" w:themeShade="BF"/>
      <w:kern w:val="0"/>
      <w:szCs w:val="24"/>
      <w:lang w:eastAsia="da-DK"/>
      <w14:ligatures w14:val="none"/>
    </w:rPr>
  </w:style>
  <w:style w:type="character" w:customStyle="1" w:styleId="Overskrift6Tegn">
    <w:name w:val="Overskrift 6 Tegn"/>
    <w:basedOn w:val="Standardskrifttypeiafsnit"/>
    <w:link w:val="Overskrift6"/>
    <w:uiPriority w:val="9"/>
    <w:semiHidden/>
    <w:rsid w:val="00E75BBE"/>
    <w:rPr>
      <w:rFonts w:eastAsiaTheme="majorEastAsia" w:cstheme="majorBidi"/>
      <w:i/>
      <w:iCs/>
      <w:color w:val="595959" w:themeColor="text1" w:themeTint="A6"/>
      <w:kern w:val="0"/>
      <w:szCs w:val="24"/>
      <w:lang w:eastAsia="da-DK"/>
      <w14:ligatures w14:val="none"/>
    </w:rPr>
  </w:style>
  <w:style w:type="character" w:customStyle="1" w:styleId="Overskrift7Tegn">
    <w:name w:val="Overskrift 7 Tegn"/>
    <w:basedOn w:val="Standardskrifttypeiafsnit"/>
    <w:link w:val="Overskrift7"/>
    <w:uiPriority w:val="9"/>
    <w:semiHidden/>
    <w:rsid w:val="00E75BBE"/>
    <w:rPr>
      <w:rFonts w:eastAsiaTheme="majorEastAsia" w:cstheme="majorBidi"/>
      <w:color w:val="595959" w:themeColor="text1" w:themeTint="A6"/>
      <w:kern w:val="0"/>
      <w:szCs w:val="24"/>
      <w:lang w:eastAsia="da-DK"/>
      <w14:ligatures w14:val="none"/>
    </w:rPr>
  </w:style>
  <w:style w:type="character" w:customStyle="1" w:styleId="Overskrift8Tegn">
    <w:name w:val="Overskrift 8 Tegn"/>
    <w:basedOn w:val="Standardskrifttypeiafsnit"/>
    <w:link w:val="Overskrift8"/>
    <w:uiPriority w:val="9"/>
    <w:semiHidden/>
    <w:rsid w:val="00E75BBE"/>
    <w:rPr>
      <w:rFonts w:eastAsiaTheme="majorEastAsia" w:cstheme="majorBidi"/>
      <w:i/>
      <w:iCs/>
      <w:color w:val="272727" w:themeColor="text1" w:themeTint="D8"/>
      <w:kern w:val="0"/>
      <w:szCs w:val="24"/>
      <w:lang w:eastAsia="da-DK"/>
      <w14:ligatures w14:val="none"/>
    </w:rPr>
  </w:style>
  <w:style w:type="character" w:customStyle="1" w:styleId="Overskrift9Tegn">
    <w:name w:val="Overskrift 9 Tegn"/>
    <w:basedOn w:val="Standardskrifttypeiafsnit"/>
    <w:link w:val="Overskrift9"/>
    <w:uiPriority w:val="9"/>
    <w:semiHidden/>
    <w:rsid w:val="00E75BBE"/>
    <w:rPr>
      <w:rFonts w:eastAsiaTheme="majorEastAsia" w:cstheme="majorBidi"/>
      <w:color w:val="272727" w:themeColor="text1" w:themeTint="D8"/>
      <w:kern w:val="0"/>
      <w:szCs w:val="24"/>
      <w:lang w:eastAsia="da-DK"/>
      <w14:ligatures w14:val="none"/>
    </w:rPr>
  </w:style>
  <w:style w:type="paragraph" w:styleId="Titel">
    <w:name w:val="Title"/>
    <w:basedOn w:val="Normal"/>
    <w:next w:val="Normal"/>
    <w:link w:val="TitelTegn"/>
    <w:uiPriority w:val="10"/>
    <w:qFormat/>
    <w:rsid w:val="00E75BB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5BBE"/>
    <w:rPr>
      <w:rFonts w:asciiTheme="majorHAnsi" w:eastAsiaTheme="majorEastAsia" w:hAnsiTheme="majorHAnsi" w:cstheme="majorBidi"/>
      <w:spacing w:val="-10"/>
      <w:kern w:val="28"/>
      <w:sz w:val="56"/>
      <w:szCs w:val="56"/>
      <w:lang w:eastAsia="da-DK"/>
      <w14:ligatures w14:val="none"/>
    </w:rPr>
  </w:style>
  <w:style w:type="paragraph" w:styleId="Undertitel">
    <w:name w:val="Subtitle"/>
    <w:basedOn w:val="Normal"/>
    <w:next w:val="Normal"/>
    <w:link w:val="UndertitelTegn"/>
    <w:uiPriority w:val="11"/>
    <w:qFormat/>
    <w:rsid w:val="00E75B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75BBE"/>
    <w:rPr>
      <w:rFonts w:eastAsiaTheme="majorEastAsia" w:cstheme="majorBidi"/>
      <w:color w:val="595959" w:themeColor="text1" w:themeTint="A6"/>
      <w:spacing w:val="15"/>
      <w:kern w:val="0"/>
      <w:sz w:val="28"/>
      <w:szCs w:val="28"/>
      <w:lang w:eastAsia="da-DK"/>
      <w14:ligatures w14:val="none"/>
    </w:rPr>
  </w:style>
  <w:style w:type="paragraph" w:styleId="Citat">
    <w:name w:val="Quote"/>
    <w:basedOn w:val="Normal"/>
    <w:next w:val="Normal"/>
    <w:link w:val="CitatTegn"/>
    <w:uiPriority w:val="29"/>
    <w:qFormat/>
    <w:rsid w:val="00E75BB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75BBE"/>
    <w:rPr>
      <w:rFonts w:ascii="Times New Roman" w:hAnsi="Times New Roman" w:cs="Times New Roman"/>
      <w:i/>
      <w:iCs/>
      <w:color w:val="404040" w:themeColor="text1" w:themeTint="BF"/>
      <w:kern w:val="0"/>
      <w:szCs w:val="24"/>
      <w:lang w:eastAsia="da-DK"/>
      <w14:ligatures w14:val="none"/>
    </w:rPr>
  </w:style>
  <w:style w:type="paragraph" w:styleId="Listeafsnit">
    <w:name w:val="List Paragraph"/>
    <w:basedOn w:val="Normal"/>
    <w:uiPriority w:val="34"/>
    <w:qFormat/>
    <w:rsid w:val="00E75BBE"/>
    <w:pPr>
      <w:ind w:left="720"/>
      <w:contextualSpacing/>
    </w:pPr>
  </w:style>
  <w:style w:type="character" w:styleId="Kraftigfremhvning">
    <w:name w:val="Intense Emphasis"/>
    <w:basedOn w:val="Standardskrifttypeiafsnit"/>
    <w:uiPriority w:val="21"/>
    <w:qFormat/>
    <w:rsid w:val="00E75BBE"/>
    <w:rPr>
      <w:i/>
      <w:iCs/>
      <w:color w:val="2F5496" w:themeColor="accent1" w:themeShade="BF"/>
    </w:rPr>
  </w:style>
  <w:style w:type="paragraph" w:styleId="Strktcitat">
    <w:name w:val="Intense Quote"/>
    <w:basedOn w:val="Normal"/>
    <w:next w:val="Normal"/>
    <w:link w:val="StrktcitatTegn"/>
    <w:uiPriority w:val="30"/>
    <w:qFormat/>
    <w:rsid w:val="00E7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75BBE"/>
    <w:rPr>
      <w:rFonts w:ascii="Times New Roman" w:hAnsi="Times New Roman" w:cs="Times New Roman"/>
      <w:i/>
      <w:iCs/>
      <w:color w:val="2F5496" w:themeColor="accent1" w:themeShade="BF"/>
      <w:kern w:val="0"/>
      <w:szCs w:val="24"/>
      <w:lang w:eastAsia="da-DK"/>
      <w14:ligatures w14:val="none"/>
    </w:rPr>
  </w:style>
  <w:style w:type="character" w:styleId="Kraftighenvisning">
    <w:name w:val="Intense Reference"/>
    <w:basedOn w:val="Standardskrifttypeiafsnit"/>
    <w:uiPriority w:val="32"/>
    <w:qFormat/>
    <w:rsid w:val="00E75BBE"/>
    <w:rPr>
      <w:b/>
      <w:bCs/>
      <w:smallCaps/>
      <w:color w:val="2F5496" w:themeColor="accent1" w:themeShade="BF"/>
      <w:spacing w:val="5"/>
    </w:rPr>
  </w:style>
  <w:style w:type="table" w:styleId="Tabel-Gitter">
    <w:name w:val="Table Grid"/>
    <w:basedOn w:val="Tabel-Normal"/>
    <w:uiPriority w:val="39"/>
    <w:rsid w:val="0027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1">
    <w:name w:val="Grid Table 4 Accent 1"/>
    <w:basedOn w:val="Tabel-Normal"/>
    <w:uiPriority w:val="49"/>
    <w:rsid w:val="006D3F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1-lys">
    <w:name w:val="Grid Table 1 Light"/>
    <w:basedOn w:val="Tabel-Normal"/>
    <w:uiPriority w:val="46"/>
    <w:rsid w:val="006D3F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4-farve2">
    <w:name w:val="Grid Table 4 Accent 2"/>
    <w:basedOn w:val="Tabel-Normal"/>
    <w:uiPriority w:val="49"/>
    <w:rsid w:val="006D3F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rrektur">
    <w:name w:val="Revision"/>
    <w:hidden/>
    <w:uiPriority w:val="99"/>
    <w:semiHidden/>
    <w:rsid w:val="00A67613"/>
    <w:pPr>
      <w:spacing w:after="0" w:line="240" w:lineRule="auto"/>
    </w:pPr>
    <w:rPr>
      <w:rFonts w:ascii="Times New Roman" w:hAnsi="Times New Roman" w:cs="Times New Roman"/>
      <w:kern w:val="0"/>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34" ma:contentTypeDescription="Opret et nyt dokument." ma:contentTypeScope="" ma:versionID="381f71ead1c05db081c62a2f813dad3f">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e9e840129519ff583980f55f236974e1"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3ce422-1377-41cc-8fa1-a70408ff4777}"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febb90c7-3665-4c1f-9f05-90391176a982" xsi:nil="true"/>
    <Owner xmlns="febb90c7-3665-4c1f-9f05-90391176a982">
      <UserInfo>
        <DisplayName/>
        <AccountId xsi:nil="true"/>
        <AccountType/>
      </UserInfo>
    </Owner>
    <Student_Groups xmlns="febb90c7-3665-4c1f-9f05-90391176a982">
      <UserInfo>
        <DisplayName/>
        <AccountId xsi:nil="true"/>
        <AccountType/>
      </UserInfo>
    </Student_Groups>
    <LMS_Mappings xmlns="febb90c7-3665-4c1f-9f05-90391176a982" xsi:nil="true"/>
    <Invited_Students xmlns="febb90c7-3665-4c1f-9f05-90391176a982" xsi:nil="true"/>
    <TaxCatchAll xmlns="eec9c017-56e4-40db-953a-986d842f7b06" xsi:nil="true"/>
    <Templates xmlns="febb90c7-3665-4c1f-9f05-90391176a982" xsi:nil="true"/>
    <Has_Teacher_Only_SectionGroup xmlns="febb90c7-3665-4c1f-9f05-90391176a982" xsi:nil="true"/>
    <lcf76f155ced4ddcb4097134ff3c332f xmlns="febb90c7-3665-4c1f-9f05-90391176a982">
      <Terms xmlns="http://schemas.microsoft.com/office/infopath/2007/PartnerControls"/>
    </lcf76f155ced4ddcb4097134ff3c332f>
    <CultureName xmlns="febb90c7-3665-4c1f-9f05-90391176a982" xsi:nil="true"/>
    <AppVersion xmlns="febb90c7-3665-4c1f-9f05-90391176a982" xsi:nil="true"/>
    <DefaultSectionNames xmlns="febb90c7-3665-4c1f-9f05-90391176a982" xsi:nil="true"/>
    <Is_Collaboration_Space_Locked xmlns="febb90c7-3665-4c1f-9f05-90391176a982" xsi:nil="true"/>
    <Teams_Channel_Section_Location xmlns="febb90c7-3665-4c1f-9f05-90391176a982" xsi:nil="true"/>
    <Math_Settings xmlns="febb90c7-3665-4c1f-9f05-90391176a982" xsi:nil="true"/>
    <Self_Registration_Enabled xmlns="febb90c7-3665-4c1f-9f05-90391176a982" xsi:nil="true"/>
    <Teachers xmlns="febb90c7-3665-4c1f-9f05-90391176a982">
      <UserInfo>
        <DisplayName/>
        <AccountId xsi:nil="true"/>
        <AccountType/>
      </UserInfo>
    </Teachers>
    <IsNotebookLocked xmlns="febb90c7-3665-4c1f-9f05-90391176a982" xsi:nil="true"/>
    <Distribution_Groups xmlns="febb90c7-3665-4c1f-9f05-90391176a982" xsi:nil="true"/>
    <TeamsChannelId xmlns="febb90c7-3665-4c1f-9f05-90391176a982" xsi:nil="true"/>
    <NotebookType xmlns="febb90c7-3665-4c1f-9f05-90391176a982" xsi:nil="true"/>
    <FolderType xmlns="febb90c7-3665-4c1f-9f05-90391176a982" xsi:nil="true"/>
    <Students xmlns="febb90c7-3665-4c1f-9f05-90391176a982">
      <UserInfo>
        <DisplayName/>
        <AccountId xsi:nil="true"/>
        <AccountType/>
      </UserInfo>
    </Students>
  </documentManagement>
</p:properties>
</file>

<file path=customXml/itemProps1.xml><?xml version="1.0" encoding="utf-8"?>
<ds:datastoreItem xmlns:ds="http://schemas.openxmlformats.org/officeDocument/2006/customXml" ds:itemID="{786BE64B-33A2-442B-9A2E-EC803960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D4E52-5D2A-4D7D-AE0F-75755260A3FA}">
  <ds:schemaRefs>
    <ds:schemaRef ds:uri="http://schemas.microsoft.com/sharepoint/v3/contenttype/forms"/>
  </ds:schemaRefs>
</ds:datastoreItem>
</file>

<file path=customXml/itemProps3.xml><?xml version="1.0" encoding="utf-8"?>
<ds:datastoreItem xmlns:ds="http://schemas.openxmlformats.org/officeDocument/2006/customXml" ds:itemID="{CE19E49F-D977-4E97-B372-6E2A8F496029}">
  <ds:schemaRefs>
    <ds:schemaRef ds:uri="http://schemas.microsoft.com/office/2006/metadata/properties"/>
    <ds:schemaRef ds:uri="http://schemas.microsoft.com/office/infopath/2007/PartnerControls"/>
    <ds:schemaRef ds:uri="febb90c7-3665-4c1f-9f05-90391176a982"/>
    <ds:schemaRef ds:uri="eec9c017-56e4-40db-953a-986d842f7b0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Fillip Falk Willink</dc:creator>
  <cp:keywords/>
  <dc:description/>
  <cp:lastModifiedBy>Hanne Stenholt HS</cp:lastModifiedBy>
  <cp:revision>11</cp:revision>
  <dcterms:created xsi:type="dcterms:W3CDTF">2025-03-17T18:35:00Z</dcterms:created>
  <dcterms:modified xsi:type="dcterms:W3CDTF">2025-03-17T18:42:00Z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0x010100BF8AFFE51B931F4397AE05E8D6C49325</vt:lpwstr>
  </property>
  <property fmtid="{D5CDD505-2E9C-101B-9397-08002B2CF9AE}" pid="3" name="MediaServiceImageTags">
    <vt:lpwstr/>
  </property>
</Properties>
</file>