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BE78" w14:textId="77777777" w:rsidR="0042332F" w:rsidRDefault="00000000">
      <w:pPr>
        <w:pStyle w:val="Overskrift2"/>
        <w:jc w:val="center"/>
      </w:pPr>
      <w:r>
        <w:t>Test - Homers Odyssé</w:t>
      </w:r>
    </w:p>
    <w:p w14:paraId="119CF357" w14:textId="77777777" w:rsidR="0042332F" w:rsidRDefault="0042332F">
      <w:pPr>
        <w:pStyle w:val="Standard"/>
      </w:pPr>
    </w:p>
    <w:p w14:paraId="4D2FF9E4" w14:textId="77777777" w:rsidR="0042332F" w:rsidRDefault="00000000">
      <w:pPr>
        <w:pStyle w:val="Overskrift3"/>
      </w:pPr>
      <w:r>
        <w:t>Opgave 1 - Begreber</w:t>
      </w:r>
    </w:p>
    <w:p w14:paraId="44927CE4" w14:textId="77777777" w:rsidR="0042332F" w:rsidRDefault="0042332F">
      <w:pPr>
        <w:pStyle w:val="Standard"/>
      </w:pPr>
    </w:p>
    <w:p w14:paraId="42CE013B" w14:textId="77777777" w:rsidR="0042332F" w:rsidRDefault="00000000">
      <w:pPr>
        <w:pStyle w:val="Standard"/>
      </w:pPr>
      <w:r>
        <w:t xml:space="preserve">Skriv din oversættelse af følgende fem begreber ind i skemaet herunder. Skriv desuden en kort forklaring på begrebet til højre i skemaet (se </w:t>
      </w:r>
      <w:r>
        <w:rPr>
          <w:i/>
          <w:iCs/>
        </w:rPr>
        <w:t xml:space="preserve">eksemplet på besvarelse </w:t>
      </w:r>
      <w:r>
        <w:t>i første række).</w:t>
      </w:r>
    </w:p>
    <w:p w14:paraId="74121C6E" w14:textId="77777777" w:rsidR="0042332F" w:rsidRDefault="0042332F">
      <w:pPr>
        <w:pStyle w:val="Standard"/>
      </w:pPr>
    </w:p>
    <w:tbl>
      <w:tblPr>
        <w:tblW w:w="9638" w:type="dxa"/>
        <w:tblLayout w:type="fixed"/>
        <w:tblCellMar>
          <w:left w:w="10" w:type="dxa"/>
          <w:right w:w="10" w:type="dxa"/>
        </w:tblCellMar>
        <w:tblLook w:val="04A0" w:firstRow="1" w:lastRow="0" w:firstColumn="1" w:lastColumn="0" w:noHBand="0" w:noVBand="1"/>
      </w:tblPr>
      <w:tblGrid>
        <w:gridCol w:w="1303"/>
        <w:gridCol w:w="3973"/>
        <w:gridCol w:w="4362"/>
      </w:tblGrid>
      <w:tr w:rsidR="0042332F" w14:paraId="75986A58" w14:textId="77777777">
        <w:tblPrEx>
          <w:tblCellMar>
            <w:top w:w="0" w:type="dxa"/>
            <w:bottom w:w="0" w:type="dxa"/>
          </w:tblCellMar>
        </w:tblPrEx>
        <w:tc>
          <w:tcPr>
            <w:tcW w:w="1303" w:type="dxa"/>
            <w:tcBorders>
              <w:top w:val="single" w:sz="4" w:space="0" w:color="000000"/>
              <w:left w:val="single" w:sz="4" w:space="0" w:color="000000"/>
              <w:bottom w:val="single" w:sz="4" w:space="0" w:color="000000"/>
            </w:tcBorders>
            <w:tcMar>
              <w:top w:w="55" w:type="dxa"/>
              <w:left w:w="55" w:type="dxa"/>
              <w:bottom w:w="55" w:type="dxa"/>
              <w:right w:w="55" w:type="dxa"/>
            </w:tcMar>
          </w:tcPr>
          <w:p w14:paraId="75D9ACA8" w14:textId="77777777" w:rsidR="0042332F" w:rsidRDefault="00000000">
            <w:pPr>
              <w:pStyle w:val="TableContents"/>
              <w:rPr>
                <w:b/>
                <w:bCs/>
              </w:rPr>
            </w:pPr>
            <w:r>
              <w:rPr>
                <w:b/>
                <w:bCs/>
              </w:rPr>
              <w:t>Begreb</w:t>
            </w:r>
          </w:p>
        </w:tc>
        <w:tc>
          <w:tcPr>
            <w:tcW w:w="3973" w:type="dxa"/>
            <w:tcBorders>
              <w:top w:val="single" w:sz="4" w:space="0" w:color="000000"/>
              <w:left w:val="single" w:sz="4" w:space="0" w:color="000000"/>
              <w:bottom w:val="single" w:sz="4" w:space="0" w:color="000000"/>
            </w:tcBorders>
            <w:tcMar>
              <w:top w:w="55" w:type="dxa"/>
              <w:left w:w="55" w:type="dxa"/>
              <w:bottom w:w="55" w:type="dxa"/>
              <w:right w:w="55" w:type="dxa"/>
            </w:tcMar>
          </w:tcPr>
          <w:p w14:paraId="3AC19D3F" w14:textId="77777777" w:rsidR="0042332F" w:rsidRDefault="00000000">
            <w:pPr>
              <w:pStyle w:val="TableContents"/>
              <w:rPr>
                <w:b/>
                <w:bCs/>
              </w:rPr>
            </w:pPr>
            <w:r>
              <w:rPr>
                <w:b/>
                <w:bCs/>
              </w:rPr>
              <w:t>Oversættelse</w:t>
            </w:r>
          </w:p>
        </w:tc>
        <w:tc>
          <w:tcPr>
            <w:tcW w:w="43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BA493D" w14:textId="77777777" w:rsidR="0042332F" w:rsidRDefault="00000000">
            <w:pPr>
              <w:pStyle w:val="TableContents"/>
              <w:rPr>
                <w:b/>
                <w:bCs/>
              </w:rPr>
            </w:pPr>
            <w:r>
              <w:rPr>
                <w:b/>
                <w:bCs/>
              </w:rPr>
              <w:t>Kort forklaring</w:t>
            </w:r>
          </w:p>
        </w:tc>
      </w:tr>
      <w:tr w:rsidR="0042332F" w14:paraId="4820C30F"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7334B338" w14:textId="77777777" w:rsidR="0042332F" w:rsidRDefault="00000000">
            <w:pPr>
              <w:pStyle w:val="TableContents"/>
              <w:rPr>
                <w:i/>
                <w:iCs/>
              </w:rPr>
            </w:pPr>
            <w:proofErr w:type="spellStart"/>
            <w:r>
              <w:rPr>
                <w:i/>
                <w:iCs/>
              </w:rPr>
              <w:t>Dólos</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47CC51EC" w14:textId="77777777" w:rsidR="0042332F" w:rsidRDefault="00000000">
            <w:pPr>
              <w:pStyle w:val="TableContents"/>
              <w:rPr>
                <w:i/>
                <w:iCs/>
              </w:rPr>
            </w:pPr>
            <w:r>
              <w:rPr>
                <w:i/>
                <w:iCs/>
              </w:rPr>
              <w:t>Snedighed</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6F97D7" w14:textId="77777777" w:rsidR="0042332F" w:rsidRDefault="00000000">
            <w:pPr>
              <w:pStyle w:val="TableContents"/>
              <w:rPr>
                <w:i/>
                <w:iCs/>
              </w:rPr>
            </w:pPr>
            <w:r>
              <w:rPr>
                <w:i/>
                <w:iCs/>
              </w:rPr>
              <w:t>Odysseus' primære egenskab.</w:t>
            </w:r>
          </w:p>
        </w:tc>
      </w:tr>
      <w:tr w:rsidR="0042332F" w14:paraId="153F9F6E"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2BE7F9E1" w14:textId="77777777" w:rsidR="0042332F" w:rsidRDefault="00000000">
            <w:pPr>
              <w:pStyle w:val="TableContents"/>
            </w:pPr>
            <w:proofErr w:type="spellStart"/>
            <w:r>
              <w:t>Kléos</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7D6A07FF" w14:textId="61BE8825" w:rsidR="0042332F" w:rsidRDefault="00E17B34">
            <w:pPr>
              <w:pStyle w:val="TableContents"/>
            </w:pPr>
            <w:r w:rsidRPr="00E17B34">
              <w:rPr>
                <w:color w:val="00B0F0"/>
              </w:rPr>
              <w:t>Ry/omdømme/rygte</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0BD037" w14:textId="5AF51018" w:rsidR="0042332F" w:rsidRPr="00E17B34" w:rsidRDefault="00E17B34">
            <w:pPr>
              <w:pStyle w:val="TableContents"/>
              <w:rPr>
                <w:color w:val="00B0F0"/>
              </w:rPr>
            </w:pPr>
            <w:r>
              <w:rPr>
                <w:color w:val="00B0F0"/>
              </w:rPr>
              <w:t>Det andre fortæller om en. Noget Odysseus og andre græske helte går meget op i.</w:t>
            </w:r>
          </w:p>
        </w:tc>
      </w:tr>
      <w:tr w:rsidR="0042332F" w14:paraId="266AFA75"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44D40372" w14:textId="77777777" w:rsidR="0042332F" w:rsidRDefault="00000000">
            <w:pPr>
              <w:pStyle w:val="TableContents"/>
            </w:pPr>
            <w:proofErr w:type="spellStart"/>
            <w:r>
              <w:t>Xeniá</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14950701" w14:textId="436B5EAE" w:rsidR="0042332F" w:rsidRPr="00E17B34" w:rsidRDefault="00E17B34">
            <w:pPr>
              <w:pStyle w:val="TableContents"/>
              <w:rPr>
                <w:color w:val="00B0F0"/>
              </w:rPr>
            </w:pPr>
            <w:r>
              <w:rPr>
                <w:color w:val="00B0F0"/>
              </w:rPr>
              <w:t>Gæstevenskab</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7E8744E5" w14:textId="034DBF2A" w:rsidR="0042332F" w:rsidRPr="00E17B34" w:rsidRDefault="00E17B34">
            <w:pPr>
              <w:pStyle w:val="TableContents"/>
              <w:rPr>
                <w:color w:val="00B0F0"/>
              </w:rPr>
            </w:pPr>
            <w:r w:rsidRPr="00E17B34">
              <w:rPr>
                <w:color w:val="00B0F0"/>
              </w:rPr>
              <w:t>Regelsæt nedsat af Zeus, gudernes konge. Fastsætter regler for, hvordan man skal opføre sig som vært og som gæst.</w:t>
            </w:r>
          </w:p>
        </w:tc>
      </w:tr>
      <w:tr w:rsidR="0042332F" w14:paraId="40B80B35"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71171851" w14:textId="77777777" w:rsidR="0042332F" w:rsidRDefault="00000000">
            <w:pPr>
              <w:pStyle w:val="TableContents"/>
            </w:pPr>
            <w:proofErr w:type="spellStart"/>
            <w:r>
              <w:t>Epithéton</w:t>
            </w:r>
            <w:proofErr w:type="spellEnd"/>
            <w:r>
              <w:t xml:space="preserve"> </w:t>
            </w:r>
            <w:proofErr w:type="spellStart"/>
            <w:r>
              <w:t>órnans</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1E0CD603" w14:textId="210514A0" w:rsidR="0042332F" w:rsidRPr="00E17B34" w:rsidRDefault="00E17B34">
            <w:pPr>
              <w:pStyle w:val="TableContents"/>
              <w:rPr>
                <w:color w:val="00B0F0"/>
              </w:rPr>
            </w:pPr>
            <w:r>
              <w:rPr>
                <w:color w:val="00B0F0"/>
              </w:rPr>
              <w:t>Smykkende tillæg</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125ACEB1" w14:textId="642AE0D8" w:rsidR="0042332F" w:rsidRPr="00E17B34" w:rsidRDefault="00E17B34">
            <w:pPr>
              <w:pStyle w:val="TableContents"/>
              <w:rPr>
                <w:color w:val="00B0F0"/>
              </w:rPr>
            </w:pPr>
            <w:r>
              <w:rPr>
                <w:color w:val="00B0F0"/>
              </w:rPr>
              <w:t xml:space="preserve">Kommer i to former. Det første er i form af sammensatte adjektiver som f.eks. </w:t>
            </w:r>
            <w:r>
              <w:rPr>
                <w:i/>
                <w:iCs/>
                <w:color w:val="00B0F0"/>
              </w:rPr>
              <w:t xml:space="preserve">søfartsberømte </w:t>
            </w:r>
            <w:r>
              <w:rPr>
                <w:color w:val="00B0F0"/>
              </w:rPr>
              <w:t xml:space="preserve">eller </w:t>
            </w:r>
            <w:proofErr w:type="spellStart"/>
            <w:r>
              <w:rPr>
                <w:i/>
                <w:iCs/>
                <w:color w:val="00B0F0"/>
              </w:rPr>
              <w:t>fletningeyndige</w:t>
            </w:r>
            <w:proofErr w:type="spellEnd"/>
            <w:r>
              <w:rPr>
                <w:color w:val="00B0F0"/>
              </w:rPr>
              <w:t xml:space="preserve">. Det andet i form af særlige tillæg til navne som f.eks. </w:t>
            </w:r>
            <w:r>
              <w:rPr>
                <w:i/>
                <w:iCs/>
                <w:color w:val="00B0F0"/>
              </w:rPr>
              <w:t>Athene, gudinden med lynende øjne</w:t>
            </w:r>
            <w:r>
              <w:rPr>
                <w:color w:val="00B0F0"/>
              </w:rPr>
              <w:t>.</w:t>
            </w:r>
          </w:p>
        </w:tc>
      </w:tr>
      <w:tr w:rsidR="0042332F" w14:paraId="6B58C317"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6F92BEDA" w14:textId="77777777" w:rsidR="0042332F" w:rsidRDefault="00000000">
            <w:pPr>
              <w:pStyle w:val="TableContents"/>
            </w:pPr>
            <w:proofErr w:type="spellStart"/>
            <w:r>
              <w:t>Patroným</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6BB09FCA" w14:textId="7A6CC404" w:rsidR="0042332F" w:rsidRPr="00E17B34" w:rsidRDefault="00E17B34">
            <w:pPr>
              <w:pStyle w:val="TableContents"/>
              <w:rPr>
                <w:color w:val="00B0F0"/>
              </w:rPr>
            </w:pPr>
            <w:r>
              <w:rPr>
                <w:color w:val="00B0F0"/>
              </w:rPr>
              <w:t>Fadernavn</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3FA2E3" w14:textId="1D71BF10" w:rsidR="0042332F" w:rsidRDefault="0053500C">
            <w:pPr>
              <w:pStyle w:val="TableContents"/>
            </w:pPr>
            <w:r w:rsidRPr="0053500C">
              <w:rPr>
                <w:color w:val="00B0F0"/>
              </w:rPr>
              <w:t xml:space="preserve">Typisk har græske helte ikke et </w:t>
            </w:r>
            <w:proofErr w:type="spellStart"/>
            <w:r w:rsidRPr="0053500C">
              <w:rPr>
                <w:color w:val="00B0F0"/>
              </w:rPr>
              <w:t>deciceret</w:t>
            </w:r>
            <w:proofErr w:type="spellEnd"/>
            <w:r w:rsidRPr="0053500C">
              <w:rPr>
                <w:color w:val="00B0F0"/>
              </w:rPr>
              <w:t xml:space="preserve"> efternavn. Til gengæld kan deres fornavne ofte efterfølges af en beskrivelse af, hvem de er søn af i form af ord som </w:t>
            </w:r>
            <w:proofErr w:type="spellStart"/>
            <w:r w:rsidRPr="0053500C">
              <w:rPr>
                <w:i/>
                <w:iCs/>
                <w:color w:val="00B0F0"/>
              </w:rPr>
              <w:t>Laertessønnen</w:t>
            </w:r>
            <w:proofErr w:type="spellEnd"/>
            <w:r w:rsidRPr="0053500C">
              <w:rPr>
                <w:i/>
                <w:iCs/>
                <w:color w:val="00B0F0"/>
              </w:rPr>
              <w:t xml:space="preserve"> </w:t>
            </w:r>
            <w:r w:rsidRPr="0053500C">
              <w:rPr>
                <w:color w:val="00B0F0"/>
              </w:rPr>
              <w:t xml:space="preserve">(Odysseus) </w:t>
            </w:r>
            <w:proofErr w:type="spellStart"/>
            <w:r w:rsidRPr="0053500C">
              <w:rPr>
                <w:color w:val="00B0F0"/>
              </w:rPr>
              <w:t>eller</w:t>
            </w:r>
            <w:proofErr w:type="spellEnd"/>
            <w:r w:rsidRPr="0053500C">
              <w:rPr>
                <w:color w:val="00B0F0"/>
              </w:rPr>
              <w:t xml:space="preserve"> </w:t>
            </w:r>
            <w:proofErr w:type="spellStart"/>
            <w:r w:rsidRPr="0053500C">
              <w:rPr>
                <w:i/>
                <w:iCs/>
                <w:color w:val="00B0F0"/>
              </w:rPr>
              <w:t>Kroniden</w:t>
            </w:r>
            <w:proofErr w:type="spellEnd"/>
            <w:r w:rsidRPr="0053500C">
              <w:rPr>
                <w:color w:val="00B0F0"/>
              </w:rPr>
              <w:t xml:space="preserve"> (Zeus). Disse kan af og til stå i stedet for fornavnet.</w:t>
            </w:r>
          </w:p>
        </w:tc>
      </w:tr>
      <w:tr w:rsidR="0042332F" w14:paraId="30759862" w14:textId="77777777">
        <w:tblPrEx>
          <w:tblCellMar>
            <w:top w:w="0" w:type="dxa"/>
            <w:bottom w:w="0" w:type="dxa"/>
          </w:tblCellMar>
        </w:tblPrEx>
        <w:tc>
          <w:tcPr>
            <w:tcW w:w="1303" w:type="dxa"/>
            <w:tcBorders>
              <w:left w:val="single" w:sz="4" w:space="0" w:color="000000"/>
              <w:bottom w:val="single" w:sz="4" w:space="0" w:color="000000"/>
            </w:tcBorders>
            <w:tcMar>
              <w:top w:w="55" w:type="dxa"/>
              <w:left w:w="55" w:type="dxa"/>
              <w:bottom w:w="55" w:type="dxa"/>
              <w:right w:w="55" w:type="dxa"/>
            </w:tcMar>
          </w:tcPr>
          <w:p w14:paraId="47414776" w14:textId="77777777" w:rsidR="0042332F" w:rsidRDefault="00000000">
            <w:pPr>
              <w:pStyle w:val="TableContents"/>
            </w:pPr>
            <w:proofErr w:type="spellStart"/>
            <w:r>
              <w:t>Nostalgía</w:t>
            </w:r>
            <w:proofErr w:type="spellEnd"/>
          </w:p>
        </w:tc>
        <w:tc>
          <w:tcPr>
            <w:tcW w:w="3973" w:type="dxa"/>
            <w:tcBorders>
              <w:left w:val="single" w:sz="4" w:space="0" w:color="000000"/>
              <w:bottom w:val="single" w:sz="4" w:space="0" w:color="000000"/>
            </w:tcBorders>
            <w:tcMar>
              <w:top w:w="55" w:type="dxa"/>
              <w:left w:w="55" w:type="dxa"/>
              <w:bottom w:w="55" w:type="dxa"/>
              <w:right w:w="55" w:type="dxa"/>
            </w:tcMar>
          </w:tcPr>
          <w:p w14:paraId="2E5F4852" w14:textId="4C603180" w:rsidR="0042332F" w:rsidRDefault="0053500C">
            <w:pPr>
              <w:pStyle w:val="TableContents"/>
            </w:pPr>
            <w:r w:rsidRPr="0053500C">
              <w:rPr>
                <w:color w:val="00B0F0"/>
              </w:rPr>
              <w:t>Hjemvé</w:t>
            </w:r>
          </w:p>
        </w:tc>
        <w:tc>
          <w:tcPr>
            <w:tcW w:w="4362"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4EA751" w14:textId="70768A1A" w:rsidR="0042332F" w:rsidRPr="0053500C" w:rsidRDefault="0053500C">
            <w:pPr>
              <w:pStyle w:val="TableContents"/>
              <w:rPr>
                <w:color w:val="00B0F0"/>
              </w:rPr>
            </w:pPr>
            <w:r w:rsidRPr="0053500C">
              <w:rPr>
                <w:color w:val="00B0F0"/>
              </w:rPr>
              <w:t>Længslen efter at komme hjem. Det er dét der driver Odysseus gennem hans rejser. Odysséen er dybest set en fortælling, der handler om at komme hjem.</w:t>
            </w:r>
          </w:p>
        </w:tc>
      </w:tr>
    </w:tbl>
    <w:p w14:paraId="2A63A5CB" w14:textId="77777777" w:rsidR="0042332F" w:rsidRDefault="0042332F">
      <w:pPr>
        <w:pStyle w:val="Standard"/>
      </w:pPr>
    </w:p>
    <w:p w14:paraId="4BDC2D72" w14:textId="77777777" w:rsidR="0042332F" w:rsidRDefault="0042332F">
      <w:pPr>
        <w:pStyle w:val="Overskrift3"/>
      </w:pPr>
    </w:p>
    <w:p w14:paraId="58C839F1" w14:textId="77777777" w:rsidR="0042332F" w:rsidRDefault="0042332F">
      <w:pPr>
        <w:pStyle w:val="Textbody"/>
      </w:pPr>
    </w:p>
    <w:p w14:paraId="1463AFFD" w14:textId="77777777" w:rsidR="0042332F" w:rsidRDefault="0042332F">
      <w:pPr>
        <w:pStyle w:val="Textbody"/>
      </w:pPr>
    </w:p>
    <w:p w14:paraId="4F6343CB" w14:textId="77777777" w:rsidR="0042332F" w:rsidRDefault="0042332F">
      <w:pPr>
        <w:pStyle w:val="Textbody"/>
      </w:pPr>
    </w:p>
    <w:p w14:paraId="2E2C9625" w14:textId="77777777" w:rsidR="0042332F" w:rsidRDefault="0042332F">
      <w:pPr>
        <w:pStyle w:val="Textbody"/>
      </w:pPr>
    </w:p>
    <w:p w14:paraId="7F88C348" w14:textId="77777777" w:rsidR="0042332F" w:rsidRDefault="0042332F">
      <w:pPr>
        <w:pStyle w:val="Textbody"/>
      </w:pPr>
    </w:p>
    <w:p w14:paraId="3CB8AA0D" w14:textId="77777777" w:rsidR="0042332F" w:rsidRDefault="0042332F">
      <w:pPr>
        <w:pStyle w:val="Textbody"/>
      </w:pPr>
    </w:p>
    <w:p w14:paraId="1360892B" w14:textId="77777777" w:rsidR="0042332F" w:rsidRDefault="0042332F">
      <w:pPr>
        <w:pStyle w:val="Textbody"/>
      </w:pPr>
    </w:p>
    <w:p w14:paraId="084AEFA4" w14:textId="3AC4A25D" w:rsidR="0042332F" w:rsidRDefault="00000000">
      <w:pPr>
        <w:pStyle w:val="Overskrift3"/>
      </w:pPr>
      <w:r>
        <w:lastRenderedPageBreak/>
        <w:t>Opgave 2 - Episke genretræk</w:t>
      </w:r>
    </w:p>
    <w:p w14:paraId="3DD828E4" w14:textId="77777777" w:rsidR="0042332F" w:rsidRDefault="0042332F">
      <w:pPr>
        <w:pStyle w:val="Standard"/>
      </w:pPr>
    </w:p>
    <w:p w14:paraId="28A58327" w14:textId="77777777" w:rsidR="0042332F" w:rsidRDefault="00000000">
      <w:pPr>
        <w:pStyle w:val="Standard"/>
      </w:pPr>
      <w:r>
        <w:t>Find 3 episke genretræk i følgende tekstuddrag. Der må gerne være flere af samme episke genretræk. Skriv citaterne og genretrækkenes navne ind i skemaet under teksten.</w:t>
      </w:r>
    </w:p>
    <w:p w14:paraId="70A53E37" w14:textId="77777777" w:rsidR="0042332F" w:rsidRDefault="0042332F">
      <w:pPr>
        <w:pStyle w:val="Standard"/>
      </w:pPr>
    </w:p>
    <w:p w14:paraId="0E50B606" w14:textId="77777777" w:rsidR="0042332F" w:rsidRDefault="00000000">
      <w:pPr>
        <w:pStyle w:val="Standard"/>
        <w:spacing w:line="360" w:lineRule="auto"/>
      </w:pPr>
      <w:r>
        <w:t>Da gjorde Alfaders datter Athene ham større at se til,</w:t>
      </w:r>
    </w:p>
    <w:p w14:paraId="4963C957" w14:textId="77777777" w:rsidR="0042332F" w:rsidRDefault="00000000">
      <w:pPr>
        <w:pStyle w:val="Standard"/>
        <w:spacing w:line="360" w:lineRule="auto"/>
      </w:pPr>
      <w:r>
        <w:t xml:space="preserve">og gav hans skikkelse højde og huld og lod fra hans isse </w:t>
      </w:r>
      <w:r>
        <w:tab/>
      </w:r>
      <w:r>
        <w:tab/>
        <w:t>230</w:t>
      </w:r>
    </w:p>
    <w:p w14:paraId="142FDB2F" w14:textId="77777777" w:rsidR="0042332F" w:rsidRDefault="00000000">
      <w:pPr>
        <w:pStyle w:val="Standard"/>
        <w:spacing w:line="360" w:lineRule="auto"/>
      </w:pPr>
      <w:r>
        <w:t xml:space="preserve">lokkerne </w:t>
      </w:r>
      <w:proofErr w:type="gramStart"/>
      <w:r>
        <w:t>falde</w:t>
      </w:r>
      <w:proofErr w:type="gramEnd"/>
      <w:r>
        <w:t xml:space="preserve"> i krøller som blomsterne på </w:t>
      </w:r>
      <w:proofErr w:type="spellStart"/>
      <w:r>
        <w:t>hyacinther</w:t>
      </w:r>
      <w:proofErr w:type="spellEnd"/>
      <w:r>
        <w:t>.</w:t>
      </w:r>
      <w:r>
        <w:br/>
        <w:t xml:space="preserve">Som </w:t>
      </w:r>
      <w:proofErr w:type="spellStart"/>
      <w:r>
        <w:t>når</w:t>
      </w:r>
      <w:proofErr w:type="spellEnd"/>
      <w:r>
        <w:t xml:space="preserve"> en smed der har lært hos Hefaistos og Pallas Athene,</w:t>
      </w:r>
    </w:p>
    <w:p w14:paraId="0AF865FB" w14:textId="77777777" w:rsidR="0042332F" w:rsidRDefault="00000000">
      <w:pPr>
        <w:pStyle w:val="Standard"/>
        <w:spacing w:line="360" w:lineRule="auto"/>
      </w:pPr>
      <w:proofErr w:type="spellStart"/>
      <w:r>
        <w:t>sa</w:t>
      </w:r>
      <w:proofErr w:type="spellEnd"/>
      <w:r>
        <w:t>̊ han er mester i kunsten og frembringer prægtige værker,</w:t>
      </w:r>
    </w:p>
    <w:p w14:paraId="766D01BB" w14:textId="77777777" w:rsidR="0042332F" w:rsidRDefault="00000000">
      <w:pPr>
        <w:pStyle w:val="Standard"/>
        <w:spacing w:line="360" w:lineRule="auto"/>
      </w:pPr>
      <w:r>
        <w:t>kyndigt indlægger sølv med fornemme guldornamenter,</w:t>
      </w:r>
      <w:r>
        <w:br/>
        <w:t xml:space="preserve">gød hun over hans hoved og skuldre forunderlig charme. </w:t>
      </w:r>
      <w:r>
        <w:tab/>
      </w:r>
      <w:r>
        <w:rPr>
          <w:color w:val="000000"/>
        </w:rPr>
        <w:tab/>
        <w:t>235</w:t>
      </w:r>
    </w:p>
    <w:p w14:paraId="4EE861F0" w14:textId="77777777" w:rsidR="0042332F" w:rsidRDefault="00000000">
      <w:pPr>
        <w:pStyle w:val="Standard"/>
        <w:spacing w:line="360" w:lineRule="auto"/>
        <w:rPr>
          <w:color w:val="000000"/>
        </w:rPr>
      </w:pPr>
      <w:proofErr w:type="spellStart"/>
      <w:r>
        <w:rPr>
          <w:color w:val="000000"/>
        </w:rPr>
        <w:t>Sa</w:t>
      </w:r>
      <w:proofErr w:type="spellEnd"/>
      <w:r>
        <w:rPr>
          <w:color w:val="000000"/>
        </w:rPr>
        <w:t xml:space="preserve">̊ gik han ned på stranden og satte sig </w:t>
      </w:r>
      <w:proofErr w:type="spellStart"/>
      <w:r>
        <w:rPr>
          <w:color w:val="000000"/>
        </w:rPr>
        <w:t>dér</w:t>
      </w:r>
      <w:proofErr w:type="spellEnd"/>
      <w:r>
        <w:rPr>
          <w:color w:val="000000"/>
        </w:rPr>
        <w:t xml:space="preserve"> for at vente,</w:t>
      </w:r>
    </w:p>
    <w:p w14:paraId="44020988" w14:textId="77777777" w:rsidR="0042332F" w:rsidRDefault="00000000">
      <w:pPr>
        <w:pStyle w:val="Standard"/>
        <w:spacing w:line="360" w:lineRule="auto"/>
        <w:rPr>
          <w:color w:val="000000"/>
        </w:rPr>
      </w:pPr>
      <w:proofErr w:type="spellStart"/>
      <w:r>
        <w:rPr>
          <w:color w:val="000000"/>
        </w:rPr>
        <w:t>strålende</w:t>
      </w:r>
      <w:proofErr w:type="spellEnd"/>
      <w:r>
        <w:rPr>
          <w:color w:val="000000"/>
        </w:rPr>
        <w:t xml:space="preserve"> herlig og skøn. Og </w:t>
      </w:r>
      <w:proofErr w:type="spellStart"/>
      <w:r>
        <w:rPr>
          <w:color w:val="000000"/>
        </w:rPr>
        <w:t>ungpigen</w:t>
      </w:r>
      <w:proofErr w:type="spellEnd"/>
      <w:r>
        <w:rPr>
          <w:color w:val="000000"/>
        </w:rPr>
        <w:t xml:space="preserve"> </w:t>
      </w:r>
      <w:proofErr w:type="spellStart"/>
      <w:r>
        <w:rPr>
          <w:color w:val="000000"/>
        </w:rPr>
        <w:t>sa</w:t>
      </w:r>
      <w:proofErr w:type="spellEnd"/>
      <w:r>
        <w:rPr>
          <w:color w:val="000000"/>
        </w:rPr>
        <w:t>̊ ham med undren.</w:t>
      </w:r>
    </w:p>
    <w:p w14:paraId="1D347BFA" w14:textId="77777777" w:rsidR="0042332F" w:rsidRDefault="00000000">
      <w:pPr>
        <w:pStyle w:val="Standard"/>
        <w:spacing w:line="360" w:lineRule="auto"/>
        <w:rPr>
          <w:color w:val="000000"/>
        </w:rPr>
      </w:pPr>
      <w:proofErr w:type="spellStart"/>
      <w:r>
        <w:rPr>
          <w:color w:val="000000"/>
        </w:rPr>
        <w:t>Derpa</w:t>
      </w:r>
      <w:proofErr w:type="spellEnd"/>
      <w:r>
        <w:rPr>
          <w:color w:val="000000"/>
        </w:rPr>
        <w:t xml:space="preserve">̊ gav hun besked til de </w:t>
      </w:r>
      <w:proofErr w:type="spellStart"/>
      <w:r>
        <w:rPr>
          <w:color w:val="000000"/>
        </w:rPr>
        <w:t>fletningeyndige</w:t>
      </w:r>
      <w:proofErr w:type="spellEnd"/>
      <w:r>
        <w:rPr>
          <w:color w:val="000000"/>
        </w:rPr>
        <w:t xml:space="preserve"> piger:</w:t>
      </w:r>
      <w:r>
        <w:rPr>
          <w:color w:val="000000"/>
        </w:rPr>
        <w:br/>
        <w:t xml:space="preserve">“Hør hvad jeg siger jer her, mine </w:t>
      </w:r>
      <w:proofErr w:type="spellStart"/>
      <w:r>
        <w:rPr>
          <w:color w:val="000000"/>
        </w:rPr>
        <w:t>liljearmede</w:t>
      </w:r>
      <w:proofErr w:type="spellEnd"/>
      <w:r>
        <w:rPr>
          <w:color w:val="000000"/>
        </w:rPr>
        <w:t xml:space="preserve"> terner!</w:t>
      </w:r>
      <w:r>
        <w:rPr>
          <w:color w:val="000000"/>
        </w:rPr>
        <w:br/>
        <w:t xml:space="preserve">Ikke enhver af de guder der bor på Olympen, har villet </w:t>
      </w:r>
      <w:r>
        <w:rPr>
          <w:color w:val="000000"/>
        </w:rPr>
        <w:tab/>
      </w:r>
      <w:r>
        <w:rPr>
          <w:color w:val="000000"/>
        </w:rPr>
        <w:tab/>
        <w:t>240</w:t>
      </w:r>
    </w:p>
    <w:p w14:paraId="0184E9EF" w14:textId="77777777" w:rsidR="0042332F" w:rsidRDefault="00000000">
      <w:pPr>
        <w:pStyle w:val="Standard"/>
        <w:spacing w:line="360" w:lineRule="auto"/>
      </w:pPr>
      <w:r>
        <w:t xml:space="preserve">afskære </w:t>
      </w:r>
      <w:proofErr w:type="spellStart"/>
      <w:r>
        <w:t>sådan</w:t>
      </w:r>
      <w:proofErr w:type="spellEnd"/>
      <w:r>
        <w:t xml:space="preserve"> en mand fra at </w:t>
      </w:r>
      <w:proofErr w:type="spellStart"/>
      <w:r>
        <w:t>na</w:t>
      </w:r>
      <w:proofErr w:type="spellEnd"/>
      <w:r>
        <w:t xml:space="preserve">̊ til </w:t>
      </w:r>
      <w:proofErr w:type="spellStart"/>
      <w:r>
        <w:t>Faiakernes</w:t>
      </w:r>
      <w:proofErr w:type="spellEnd"/>
      <w:r>
        <w:t xml:space="preserve"> kyster.</w:t>
      </w:r>
      <w:r>
        <w:br/>
        <w:t xml:space="preserve">Før </w:t>
      </w:r>
      <w:proofErr w:type="spellStart"/>
      <w:r>
        <w:t>sa</w:t>
      </w:r>
      <w:proofErr w:type="spellEnd"/>
      <w:r>
        <w:t>̊ han ud til at være en uanseelig stakkel,</w:t>
      </w:r>
      <w:r>
        <w:br/>
        <w:t xml:space="preserve">nu er han skøn som de guder der </w:t>
      </w:r>
      <w:proofErr w:type="spellStart"/>
      <w:r>
        <w:t>råder</w:t>
      </w:r>
      <w:proofErr w:type="spellEnd"/>
      <w:r>
        <w:t xml:space="preserve"> i himmelens højder.</w:t>
      </w:r>
    </w:p>
    <w:p w14:paraId="630F2D92" w14:textId="77777777" w:rsidR="0042332F" w:rsidRDefault="00000000">
      <w:pPr>
        <w:pStyle w:val="Standard"/>
        <w:jc w:val="right"/>
      </w:pPr>
      <w:r>
        <w:t xml:space="preserve">(Homers Odyssé, 6. sang </w:t>
      </w:r>
      <w:proofErr w:type="spellStart"/>
      <w:r>
        <w:t>vv</w:t>
      </w:r>
      <w:proofErr w:type="spellEnd"/>
      <w:r>
        <w:t>. 229-243)</w:t>
      </w:r>
    </w:p>
    <w:p w14:paraId="58541946" w14:textId="77777777" w:rsidR="0042332F" w:rsidRDefault="0042332F">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42332F" w14:paraId="03583EDF" w14:textId="77777777">
        <w:tblPrEx>
          <w:tblCellMar>
            <w:top w:w="0" w:type="dxa"/>
            <w:bottom w:w="0" w:type="dxa"/>
          </w:tblCellMar>
        </w:tblPrEx>
        <w:tc>
          <w:tcPr>
            <w:tcW w:w="4819" w:type="dxa"/>
            <w:tcBorders>
              <w:top w:val="single" w:sz="4" w:space="0" w:color="000000"/>
              <w:left w:val="single" w:sz="4" w:space="0" w:color="000000"/>
              <w:bottom w:val="single" w:sz="4" w:space="0" w:color="000000"/>
            </w:tcBorders>
            <w:tcMar>
              <w:top w:w="55" w:type="dxa"/>
              <w:left w:w="55" w:type="dxa"/>
              <w:bottom w:w="55" w:type="dxa"/>
              <w:right w:w="55" w:type="dxa"/>
            </w:tcMar>
          </w:tcPr>
          <w:p w14:paraId="2D5A7290" w14:textId="77777777" w:rsidR="0042332F" w:rsidRDefault="00000000">
            <w:pPr>
              <w:pStyle w:val="TableContents"/>
              <w:rPr>
                <w:b/>
                <w:bCs/>
              </w:rPr>
            </w:pPr>
            <w:r>
              <w:rPr>
                <w:b/>
                <w:bCs/>
              </w:rPr>
              <w:t>Citat</w:t>
            </w:r>
          </w:p>
        </w:tc>
        <w:tc>
          <w:tcPr>
            <w:tcW w:w="4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E9D9E1" w14:textId="77777777" w:rsidR="0042332F" w:rsidRDefault="00000000">
            <w:pPr>
              <w:pStyle w:val="TableContents"/>
              <w:rPr>
                <w:b/>
                <w:bCs/>
              </w:rPr>
            </w:pPr>
            <w:r>
              <w:rPr>
                <w:b/>
                <w:bCs/>
              </w:rPr>
              <w:t>Navn på episk genretræk</w:t>
            </w:r>
          </w:p>
        </w:tc>
      </w:tr>
      <w:tr w:rsidR="0042332F" w14:paraId="60F492F2" w14:textId="77777777">
        <w:tblPrEx>
          <w:tblCellMar>
            <w:top w:w="0" w:type="dxa"/>
            <w:bottom w:w="0" w:type="dxa"/>
          </w:tblCellMar>
        </w:tblPrEx>
        <w:tc>
          <w:tcPr>
            <w:tcW w:w="4819" w:type="dxa"/>
            <w:tcBorders>
              <w:left w:val="single" w:sz="4" w:space="0" w:color="000000"/>
              <w:bottom w:val="single" w:sz="4" w:space="0" w:color="000000"/>
            </w:tcBorders>
            <w:tcMar>
              <w:top w:w="55" w:type="dxa"/>
              <w:left w:w="55" w:type="dxa"/>
              <w:bottom w:w="55" w:type="dxa"/>
              <w:right w:w="55" w:type="dxa"/>
            </w:tcMar>
          </w:tcPr>
          <w:p w14:paraId="6B7091FB" w14:textId="72D5AE16" w:rsidR="0042332F" w:rsidRDefault="0053500C">
            <w:pPr>
              <w:pStyle w:val="TableContents"/>
            </w:pPr>
            <w:r>
              <w:t>Alfaders datter</w:t>
            </w:r>
            <w:r>
              <w:t xml:space="preserve"> (v. 229)</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89D3805" w14:textId="6B23647A" w:rsidR="0042332F" w:rsidRDefault="0053500C">
            <w:pPr>
              <w:pStyle w:val="TableContents"/>
            </w:pPr>
            <w:r>
              <w:t>Patronym</w:t>
            </w:r>
          </w:p>
          <w:p w14:paraId="227AED76" w14:textId="77777777" w:rsidR="0042332F" w:rsidRDefault="0042332F">
            <w:pPr>
              <w:pStyle w:val="TableContents"/>
            </w:pPr>
          </w:p>
        </w:tc>
      </w:tr>
      <w:tr w:rsidR="0042332F" w14:paraId="24766AC7" w14:textId="77777777">
        <w:tblPrEx>
          <w:tblCellMar>
            <w:top w:w="0" w:type="dxa"/>
            <w:bottom w:w="0" w:type="dxa"/>
          </w:tblCellMar>
        </w:tblPrEx>
        <w:tc>
          <w:tcPr>
            <w:tcW w:w="4819" w:type="dxa"/>
            <w:tcBorders>
              <w:left w:val="single" w:sz="4" w:space="0" w:color="000000"/>
              <w:bottom w:val="single" w:sz="4" w:space="0" w:color="000000"/>
            </w:tcBorders>
            <w:tcMar>
              <w:top w:w="55" w:type="dxa"/>
              <w:left w:w="55" w:type="dxa"/>
              <w:bottom w:w="55" w:type="dxa"/>
              <w:right w:w="55" w:type="dxa"/>
            </w:tcMar>
          </w:tcPr>
          <w:p w14:paraId="4FA0DFC6" w14:textId="77777777" w:rsidR="0042332F" w:rsidRDefault="0053500C" w:rsidP="0053500C">
            <w:pPr>
              <w:pStyle w:val="Standard"/>
              <w:spacing w:line="360" w:lineRule="auto"/>
            </w:pPr>
            <w:r>
              <w:t>"</w:t>
            </w:r>
            <w:r>
              <w:t xml:space="preserve">Som </w:t>
            </w:r>
            <w:proofErr w:type="spellStart"/>
            <w:r>
              <w:t>når</w:t>
            </w:r>
            <w:proofErr w:type="spellEnd"/>
            <w:r>
              <w:t xml:space="preserve"> en smed</w:t>
            </w:r>
            <w:r>
              <w:t xml:space="preserve">... </w:t>
            </w:r>
            <w:r>
              <w:t>forunderlig charme.</w:t>
            </w:r>
            <w:r>
              <w:t>"</w:t>
            </w:r>
          </w:p>
          <w:p w14:paraId="21B627E8" w14:textId="3BFB31F8" w:rsidR="0053500C" w:rsidRDefault="0053500C" w:rsidP="0053500C">
            <w:pPr>
              <w:pStyle w:val="Standard"/>
              <w:spacing w:line="360" w:lineRule="auto"/>
            </w:pPr>
            <w:r>
              <w:t>(</w:t>
            </w:r>
            <w:proofErr w:type="spellStart"/>
            <w:r>
              <w:t>vv</w:t>
            </w:r>
            <w:proofErr w:type="spellEnd"/>
            <w:r>
              <w:t>. 232-235)</w:t>
            </w:r>
          </w:p>
        </w:tc>
        <w:tc>
          <w:tcPr>
            <w:tcW w:w="4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BF1431" w14:textId="46E0F1D8" w:rsidR="0042332F" w:rsidRDefault="0053500C">
            <w:pPr>
              <w:pStyle w:val="TableContents"/>
            </w:pPr>
            <w:r>
              <w:t>Homerisk lignelse</w:t>
            </w:r>
          </w:p>
        </w:tc>
      </w:tr>
      <w:tr w:rsidR="0042332F" w14:paraId="33C55929" w14:textId="77777777" w:rsidTr="0053500C">
        <w:tblPrEx>
          <w:tblCellMar>
            <w:top w:w="0" w:type="dxa"/>
            <w:bottom w:w="0" w:type="dxa"/>
          </w:tblCellMar>
        </w:tblPrEx>
        <w:tc>
          <w:tcPr>
            <w:tcW w:w="4819" w:type="dxa"/>
            <w:tcBorders>
              <w:left w:val="single" w:sz="4" w:space="0" w:color="000000"/>
              <w:bottom w:val="single" w:sz="4" w:space="0" w:color="auto"/>
            </w:tcBorders>
            <w:tcMar>
              <w:top w:w="55" w:type="dxa"/>
              <w:left w:w="55" w:type="dxa"/>
              <w:bottom w:w="55" w:type="dxa"/>
              <w:right w:w="55" w:type="dxa"/>
            </w:tcMar>
          </w:tcPr>
          <w:p w14:paraId="6DEB1900" w14:textId="4751DA01" w:rsidR="0042332F" w:rsidRDefault="0053500C">
            <w:pPr>
              <w:pStyle w:val="TableContents"/>
            </w:pPr>
            <w:proofErr w:type="spellStart"/>
            <w:r>
              <w:rPr>
                <w:color w:val="000000"/>
              </w:rPr>
              <w:t>fletningeyndige</w:t>
            </w:r>
            <w:proofErr w:type="spellEnd"/>
            <w:r>
              <w:rPr>
                <w:color w:val="000000"/>
              </w:rPr>
              <w:t xml:space="preserve"> (v. 238)</w:t>
            </w:r>
          </w:p>
        </w:tc>
        <w:tc>
          <w:tcPr>
            <w:tcW w:w="4819" w:type="dxa"/>
            <w:tcBorders>
              <w:left w:val="single" w:sz="4" w:space="0" w:color="000000"/>
              <w:bottom w:val="single" w:sz="4" w:space="0" w:color="auto"/>
              <w:right w:val="single" w:sz="4" w:space="0" w:color="000000"/>
            </w:tcBorders>
            <w:tcMar>
              <w:top w:w="55" w:type="dxa"/>
              <w:left w:w="55" w:type="dxa"/>
              <w:bottom w:w="55" w:type="dxa"/>
              <w:right w:w="55" w:type="dxa"/>
            </w:tcMar>
          </w:tcPr>
          <w:p w14:paraId="6F2B047E" w14:textId="747CDC0A" w:rsidR="0042332F" w:rsidRDefault="0053500C">
            <w:pPr>
              <w:pStyle w:val="TableContents"/>
            </w:pPr>
            <w:proofErr w:type="spellStart"/>
            <w:r>
              <w:t>Epitheton</w:t>
            </w:r>
            <w:proofErr w:type="spellEnd"/>
            <w:r>
              <w:t xml:space="preserve"> </w:t>
            </w:r>
            <w:proofErr w:type="spellStart"/>
            <w:r>
              <w:t>ornans</w:t>
            </w:r>
            <w:proofErr w:type="spellEnd"/>
          </w:p>
          <w:p w14:paraId="60583A67" w14:textId="77777777" w:rsidR="0042332F" w:rsidRDefault="0042332F">
            <w:pPr>
              <w:pStyle w:val="TableContents"/>
            </w:pPr>
          </w:p>
        </w:tc>
      </w:tr>
      <w:tr w:rsidR="0053500C" w14:paraId="48FA1604" w14:textId="77777777" w:rsidTr="0053500C">
        <w:tblPrEx>
          <w:tblCellMar>
            <w:top w:w="0" w:type="dxa"/>
            <w:bottom w:w="0" w:type="dxa"/>
          </w:tblCellMar>
        </w:tblPrEx>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BDF11F0" w14:textId="77777777" w:rsidR="0053500C" w:rsidRDefault="0053500C">
            <w:pPr>
              <w:pStyle w:val="TableContents"/>
              <w:rPr>
                <w:color w:val="000000"/>
              </w:rPr>
            </w:pPr>
            <w:proofErr w:type="spellStart"/>
            <w:r>
              <w:rPr>
                <w:color w:val="000000"/>
              </w:rPr>
              <w:t>liljearmede</w:t>
            </w:r>
            <w:proofErr w:type="spellEnd"/>
            <w:r>
              <w:rPr>
                <w:color w:val="000000"/>
              </w:rPr>
              <w:t xml:space="preserve"> (v. 239)</w:t>
            </w:r>
          </w:p>
          <w:p w14:paraId="2144E78B" w14:textId="2153F4A5" w:rsidR="0053500C" w:rsidRDefault="0053500C">
            <w:pPr>
              <w:pStyle w:val="TableContents"/>
              <w:rPr>
                <w:color w:val="000000"/>
              </w:rPr>
            </w:pP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0B1F4A" w14:textId="77777777" w:rsidR="0053500C" w:rsidRDefault="0053500C" w:rsidP="0053500C">
            <w:pPr>
              <w:pStyle w:val="TableContents"/>
            </w:pPr>
            <w:proofErr w:type="spellStart"/>
            <w:r>
              <w:t>Epitheton</w:t>
            </w:r>
            <w:proofErr w:type="spellEnd"/>
            <w:r>
              <w:t xml:space="preserve"> </w:t>
            </w:r>
            <w:proofErr w:type="spellStart"/>
            <w:r>
              <w:t>ornans</w:t>
            </w:r>
            <w:proofErr w:type="spellEnd"/>
          </w:p>
          <w:p w14:paraId="6B737FC8" w14:textId="77777777" w:rsidR="0053500C" w:rsidRDefault="0053500C">
            <w:pPr>
              <w:pStyle w:val="TableContents"/>
            </w:pPr>
          </w:p>
        </w:tc>
      </w:tr>
    </w:tbl>
    <w:p w14:paraId="34FA4845" w14:textId="77777777" w:rsidR="0042332F" w:rsidRDefault="0042332F">
      <w:pPr>
        <w:pStyle w:val="Standard"/>
      </w:pPr>
    </w:p>
    <w:p w14:paraId="00B358C2" w14:textId="77777777" w:rsidR="0042332F" w:rsidRDefault="0042332F">
      <w:pPr>
        <w:pStyle w:val="Overskrift3"/>
      </w:pPr>
    </w:p>
    <w:p w14:paraId="7B60CE35" w14:textId="77777777" w:rsidR="0042332F" w:rsidRDefault="0042332F">
      <w:pPr>
        <w:pStyle w:val="Overskrift3"/>
      </w:pPr>
    </w:p>
    <w:p w14:paraId="4BD3CF40" w14:textId="77777777" w:rsidR="0042332F" w:rsidRDefault="0042332F">
      <w:pPr>
        <w:pStyle w:val="Textbody"/>
      </w:pPr>
    </w:p>
    <w:p w14:paraId="17C2A358" w14:textId="77777777" w:rsidR="0042332F" w:rsidRDefault="0042332F">
      <w:pPr>
        <w:pStyle w:val="Textbody"/>
      </w:pPr>
    </w:p>
    <w:p w14:paraId="21011953" w14:textId="77777777" w:rsidR="0042332F" w:rsidRDefault="0042332F">
      <w:pPr>
        <w:pStyle w:val="Textbody"/>
      </w:pPr>
    </w:p>
    <w:p w14:paraId="42353B07" w14:textId="77777777" w:rsidR="0042332F" w:rsidRDefault="0042332F">
      <w:pPr>
        <w:pStyle w:val="Textbody"/>
      </w:pPr>
    </w:p>
    <w:p w14:paraId="0F264606" w14:textId="77777777" w:rsidR="0042332F" w:rsidRDefault="0042332F">
      <w:pPr>
        <w:pStyle w:val="Textbody"/>
      </w:pPr>
    </w:p>
    <w:p w14:paraId="4A591CC9" w14:textId="77777777" w:rsidR="0042332F" w:rsidRDefault="00000000">
      <w:pPr>
        <w:pStyle w:val="Overskrift3"/>
      </w:pPr>
      <w:r>
        <w:lastRenderedPageBreak/>
        <w:t>Opgave 3 - Tekstfortolkning</w:t>
      </w:r>
    </w:p>
    <w:p w14:paraId="57B2253B" w14:textId="77777777" w:rsidR="0042332F" w:rsidRDefault="0042332F">
      <w:pPr>
        <w:pStyle w:val="Standard"/>
      </w:pPr>
    </w:p>
    <w:p w14:paraId="684B3CF2" w14:textId="77777777" w:rsidR="0042332F" w:rsidRDefault="00000000">
      <w:pPr>
        <w:pStyle w:val="Standard"/>
      </w:pPr>
      <w:r>
        <w:t xml:space="preserve">Giv en personkarakteristik af Odysseus ud fra Odysséens 6. sang </w:t>
      </w:r>
      <w:proofErr w:type="spellStart"/>
      <w:r>
        <w:t>vv</w:t>
      </w:r>
      <w:proofErr w:type="spellEnd"/>
      <w:r>
        <w:t>. 149-185 ("Dig, en prinsesse... allermest ære."). Karakteristikken må max. være 1600 anslag inkl. mellemrum, og skal indeholde minimum 2 citater fra teksten.</w:t>
      </w:r>
    </w:p>
    <w:p w14:paraId="296DFB10" w14:textId="77777777" w:rsidR="0042332F" w:rsidRDefault="0042332F">
      <w:pPr>
        <w:pStyle w:val="Standard"/>
      </w:pPr>
    </w:p>
    <w:tbl>
      <w:tblPr>
        <w:tblW w:w="9638" w:type="dxa"/>
        <w:tblLayout w:type="fixed"/>
        <w:tblCellMar>
          <w:left w:w="10" w:type="dxa"/>
          <w:right w:w="10" w:type="dxa"/>
        </w:tblCellMar>
        <w:tblLook w:val="04A0" w:firstRow="1" w:lastRow="0" w:firstColumn="1" w:lastColumn="0" w:noHBand="0" w:noVBand="1"/>
      </w:tblPr>
      <w:tblGrid>
        <w:gridCol w:w="9638"/>
      </w:tblGrid>
      <w:tr w:rsidR="0042332F" w14:paraId="303D1F27" w14:textId="77777777">
        <w:tblPrEx>
          <w:tblCellMar>
            <w:top w:w="0" w:type="dxa"/>
            <w:bottom w:w="0" w:type="dxa"/>
          </w:tblCellMar>
        </w:tblPrEx>
        <w:tc>
          <w:tcPr>
            <w:tcW w:w="9638" w:type="dxa"/>
            <w:tcBorders>
              <w:top w:val="single" w:sz="4" w:space="0" w:color="000000"/>
              <w:left w:val="single" w:sz="4" w:space="0" w:color="000000"/>
              <w:right w:val="single" w:sz="4" w:space="0" w:color="000000"/>
            </w:tcBorders>
            <w:tcMar>
              <w:top w:w="55" w:type="dxa"/>
              <w:left w:w="55" w:type="dxa"/>
              <w:bottom w:w="55" w:type="dxa"/>
              <w:right w:w="55" w:type="dxa"/>
            </w:tcMar>
          </w:tcPr>
          <w:p w14:paraId="7B4564E8" w14:textId="09D54FDF" w:rsidR="0042332F" w:rsidRDefault="00000000">
            <w:pPr>
              <w:pStyle w:val="TableContents"/>
              <w:rPr>
                <w:b/>
                <w:bCs/>
              </w:rPr>
            </w:pPr>
            <w:r>
              <w:rPr>
                <w:b/>
                <w:bCs/>
              </w:rPr>
              <w:t>Personkarakteristik af Odysseus</w:t>
            </w:r>
            <w:r w:rsidR="00F811BE">
              <w:rPr>
                <w:b/>
                <w:bCs/>
              </w:rPr>
              <w:t xml:space="preserve"> </w:t>
            </w:r>
            <w:r w:rsidR="00F811BE" w:rsidRPr="00F811BE">
              <w:rPr>
                <w:b/>
                <w:bCs/>
                <w:color w:val="00B0F0"/>
              </w:rPr>
              <w:t>- udvalgte gode besvarelser</w:t>
            </w:r>
          </w:p>
        </w:tc>
      </w:tr>
      <w:tr w:rsidR="0042332F" w14:paraId="2127D3DB" w14:textId="77777777">
        <w:tblPrEx>
          <w:tblCellMar>
            <w:top w:w="0" w:type="dxa"/>
            <w:bottom w:w="0" w:type="dxa"/>
          </w:tblCellMar>
        </w:tblPrEx>
        <w:tc>
          <w:tcPr>
            <w:tcW w:w="963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978E78" w14:textId="77777777" w:rsidR="00BB00C7" w:rsidRDefault="00BB00C7" w:rsidP="00BB00C7">
            <w:pPr>
              <w:pStyle w:val="TableContents"/>
              <w:rPr>
                <w:color w:val="00B0F0"/>
              </w:rPr>
            </w:pPr>
          </w:p>
          <w:p w14:paraId="6AE05DC7" w14:textId="77777777" w:rsidR="00BB00C7" w:rsidRPr="00566BEC" w:rsidRDefault="00BB00C7" w:rsidP="00566BEC">
            <w:pPr>
              <w:rPr>
                <w:i/>
                <w:iCs/>
                <w:color w:val="00B0F0"/>
              </w:rPr>
            </w:pPr>
            <w:r w:rsidRPr="00566BEC">
              <w:rPr>
                <w:color w:val="00B0F0"/>
              </w:rPr>
              <w:t xml:space="preserve">Samtidig får man et indblik i, at Odysseus er en mand, som er god til at læse andre mennesker. Det ser vi, fordi han hurtigt regner ud at </w:t>
            </w:r>
            <w:proofErr w:type="spellStart"/>
            <w:r w:rsidRPr="00566BEC">
              <w:rPr>
                <w:color w:val="00B0F0"/>
              </w:rPr>
              <w:t>Nausikaa</w:t>
            </w:r>
            <w:proofErr w:type="spellEnd"/>
            <w:r w:rsidRPr="00566BEC">
              <w:rPr>
                <w:color w:val="00B0F0"/>
              </w:rPr>
              <w:t xml:space="preserve"> er en prinsesse, og at hun er jomfru: </w:t>
            </w:r>
            <w:r w:rsidRPr="00566BEC">
              <w:rPr>
                <w:i/>
                <w:iCs/>
                <w:color w:val="00B0F0"/>
              </w:rPr>
              <w:t xml:space="preserve">”Dig, en prinsesse, måske en gudinde.” (v.149). </w:t>
            </w:r>
          </w:p>
          <w:p w14:paraId="7ABCC83F" w14:textId="77777777" w:rsidR="00BB00C7" w:rsidRDefault="00BB00C7" w:rsidP="00BB00C7">
            <w:pPr>
              <w:pStyle w:val="TableContents"/>
              <w:rPr>
                <w:color w:val="00B0F0"/>
              </w:rPr>
            </w:pPr>
          </w:p>
          <w:p w14:paraId="43F2ECBD" w14:textId="77777777" w:rsidR="00BB00C7" w:rsidRPr="00BB00C7" w:rsidRDefault="00BB00C7" w:rsidP="00BB00C7">
            <w:pPr>
              <w:pStyle w:val="TableContents"/>
              <w:rPr>
                <w:color w:val="00B0F0"/>
              </w:rPr>
            </w:pPr>
            <w:r w:rsidRPr="00BB00C7">
              <w:rPr>
                <w:color w:val="00B0F0"/>
              </w:rPr>
              <w:t xml:space="preserve">I mødet med </w:t>
            </w:r>
            <w:proofErr w:type="spellStart"/>
            <w:r w:rsidRPr="00BB00C7">
              <w:rPr>
                <w:color w:val="00B0F0"/>
              </w:rPr>
              <w:t>Nausikaa</w:t>
            </w:r>
            <w:proofErr w:type="spellEnd"/>
            <w:r w:rsidRPr="00BB00C7">
              <w:rPr>
                <w:color w:val="00B0F0"/>
              </w:rPr>
              <w:t>, siger Odysseus dette:</w:t>
            </w:r>
          </w:p>
          <w:p w14:paraId="5970DEE8" w14:textId="77777777" w:rsidR="00BB00C7" w:rsidRPr="00BB00C7" w:rsidRDefault="00BB00C7" w:rsidP="00BB00C7">
            <w:pPr>
              <w:pStyle w:val="TableContents"/>
              <w:rPr>
                <w:color w:val="00B0F0"/>
              </w:rPr>
            </w:pPr>
            <w:r w:rsidRPr="00BB00C7">
              <w:rPr>
                <w:color w:val="00B0F0"/>
              </w:rPr>
              <w:t xml:space="preserve">"Deres hjerter må altid varmes af fryd og svulme af glæde så ofte de ser dig, sådan et liljerankt skud, være med i sangen og dansen" - s.97, v. 155-157. Odysseus fortæller her, at hendes familie altid skal være taknemmelig for hende, og han udtrykker en beundring for hendes skønhed. Han prøver på en måde at vinde hende over på hans side. Dette viser Odysseus to sider, selvom han er en voldsom kriger, fremstår han stadigvæk som en charmerende og civiliseret mand. På en måde bruger han også sin snedighed til at snakke sig "tættere" på </w:t>
            </w:r>
            <w:proofErr w:type="spellStart"/>
            <w:r w:rsidRPr="00BB00C7">
              <w:rPr>
                <w:color w:val="00B0F0"/>
              </w:rPr>
              <w:t>Nausikaa</w:t>
            </w:r>
            <w:proofErr w:type="spellEnd"/>
            <w:r w:rsidRPr="00BB00C7">
              <w:rPr>
                <w:color w:val="00B0F0"/>
              </w:rPr>
              <w:t xml:space="preserve"> og få hende til at hjælpe ham. </w:t>
            </w:r>
          </w:p>
          <w:p w14:paraId="5489C261" w14:textId="77777777" w:rsidR="00BB00C7" w:rsidRDefault="00BB00C7" w:rsidP="00BB00C7">
            <w:pPr>
              <w:pStyle w:val="TableContents"/>
              <w:rPr>
                <w:color w:val="00B0F0"/>
              </w:rPr>
            </w:pPr>
          </w:p>
          <w:p w14:paraId="54A05A17" w14:textId="77777777" w:rsidR="00BB00C7" w:rsidRDefault="00BB00C7" w:rsidP="00BB00C7">
            <w:pPr>
              <w:pStyle w:val="TableContents"/>
              <w:rPr>
                <w:color w:val="00B0F0"/>
              </w:rPr>
            </w:pPr>
          </w:p>
          <w:p w14:paraId="31C2E39D" w14:textId="77777777" w:rsidR="00BB00C7" w:rsidRPr="00BB00C7" w:rsidRDefault="00BB00C7" w:rsidP="00BB00C7">
            <w:pPr>
              <w:pStyle w:val="TableContents"/>
              <w:rPr>
                <w:color w:val="00B0F0"/>
              </w:rPr>
            </w:pPr>
            <w:r w:rsidRPr="00BB00C7">
              <w:rPr>
                <w:color w:val="00B0F0"/>
              </w:rPr>
              <w:t xml:space="preserve">"Dog, den mand vil jeg kalde lyksaligst af alle i verden som det forundes at få dig for prægtige brudekøbsgaver. Aldrig har jeg dog før for mit øje set magen til skønhed, (160) hverken hos mand eller kvinde." (s. 6, </w:t>
            </w:r>
            <w:proofErr w:type="spellStart"/>
            <w:r w:rsidRPr="00BB00C7">
              <w:rPr>
                <w:color w:val="00B0F0"/>
              </w:rPr>
              <w:t>vv</w:t>
            </w:r>
            <w:proofErr w:type="spellEnd"/>
            <w:r w:rsidRPr="00BB00C7">
              <w:rPr>
                <w:color w:val="00B0F0"/>
              </w:rPr>
              <w:t xml:space="preserve">. 158 - 161). </w:t>
            </w:r>
          </w:p>
          <w:p w14:paraId="1CA2DA93" w14:textId="77777777" w:rsidR="00BB00C7" w:rsidRPr="00BB00C7" w:rsidRDefault="00BB00C7" w:rsidP="00BB00C7">
            <w:pPr>
              <w:pStyle w:val="TableContents"/>
              <w:rPr>
                <w:color w:val="00B0F0"/>
              </w:rPr>
            </w:pPr>
            <w:r w:rsidRPr="00BB00C7">
              <w:rPr>
                <w:color w:val="00B0F0"/>
              </w:rPr>
              <w:t xml:space="preserve">-&gt; Her udviser Odysseus </w:t>
            </w:r>
            <w:proofErr w:type="spellStart"/>
            <w:r w:rsidRPr="00BB00C7">
              <w:rPr>
                <w:color w:val="00B0F0"/>
              </w:rPr>
              <w:t>dólos</w:t>
            </w:r>
            <w:proofErr w:type="spellEnd"/>
            <w:r w:rsidRPr="00BB00C7">
              <w:rPr>
                <w:color w:val="00B0F0"/>
              </w:rPr>
              <w:t xml:space="preserve"> i det han afkoder </w:t>
            </w:r>
            <w:proofErr w:type="spellStart"/>
            <w:r w:rsidRPr="00BB00C7">
              <w:rPr>
                <w:color w:val="00B0F0"/>
              </w:rPr>
              <w:t>Nausikaas</w:t>
            </w:r>
            <w:proofErr w:type="spellEnd"/>
            <w:r w:rsidRPr="00BB00C7">
              <w:rPr>
                <w:color w:val="00B0F0"/>
              </w:rPr>
              <w:t xml:space="preserve"> primære og altopslugende ønske og udnytter det sådan set til egen fordel. Ved at smigre hende og bekræfte hendes ønsker formår han at vinde hendes tillid og dermed hendes hjælp.  </w:t>
            </w:r>
          </w:p>
          <w:p w14:paraId="7344CEEA" w14:textId="77777777" w:rsidR="00BB00C7" w:rsidRDefault="00BB00C7" w:rsidP="00BB00C7">
            <w:pPr>
              <w:pStyle w:val="TableContents"/>
              <w:rPr>
                <w:color w:val="00B0F0"/>
              </w:rPr>
            </w:pPr>
          </w:p>
          <w:p w14:paraId="39CEBCB0" w14:textId="77777777" w:rsidR="00566BEC" w:rsidRDefault="00566BEC" w:rsidP="00566BEC">
            <w:pPr>
              <w:pStyle w:val="TableContents"/>
              <w:rPr>
                <w:color w:val="00B0F0"/>
              </w:rPr>
            </w:pPr>
            <w:r w:rsidRPr="00BB00C7">
              <w:rPr>
                <w:color w:val="00B0F0"/>
              </w:rPr>
              <w:t xml:space="preserve">[Odysseus] prøver at tale til </w:t>
            </w:r>
            <w:r>
              <w:rPr>
                <w:color w:val="00B0F0"/>
              </w:rPr>
              <w:t>[</w:t>
            </w:r>
            <w:proofErr w:type="spellStart"/>
            <w:r>
              <w:rPr>
                <w:color w:val="00B0F0"/>
              </w:rPr>
              <w:t>Nausikaa</w:t>
            </w:r>
            <w:proofErr w:type="spellEnd"/>
            <w:r>
              <w:rPr>
                <w:color w:val="00B0F0"/>
              </w:rPr>
              <w:t>]</w:t>
            </w:r>
            <w:r w:rsidRPr="00BB00C7">
              <w:rPr>
                <w:color w:val="00B0F0"/>
              </w:rPr>
              <w:t xml:space="preserve"> ved at underordne sig hende: ”Således står jeg her stum af beundring, prinsesse, og vover ikke at røre dit knæ, hvor hårdt jeg ellers er nødstedt” (</w:t>
            </w:r>
            <w:proofErr w:type="spellStart"/>
            <w:r>
              <w:rPr>
                <w:color w:val="00B0F0"/>
              </w:rPr>
              <w:t>vv</w:t>
            </w:r>
            <w:proofErr w:type="spellEnd"/>
            <w:r w:rsidRPr="00BB00C7">
              <w:rPr>
                <w:color w:val="00B0F0"/>
              </w:rPr>
              <w:t>. 168-169). Han prøver at få noget medlidenhed ved at fortælle om hans rejser og lidelser samtidig med at han taler ekstremt positivt om hende.</w:t>
            </w:r>
          </w:p>
          <w:p w14:paraId="4E47F6AA" w14:textId="77777777" w:rsidR="00566BEC" w:rsidRPr="00BB00C7" w:rsidRDefault="00566BEC" w:rsidP="00BB00C7">
            <w:pPr>
              <w:pStyle w:val="TableContents"/>
              <w:rPr>
                <w:color w:val="00B0F0"/>
              </w:rPr>
            </w:pPr>
          </w:p>
          <w:p w14:paraId="3D6B39AF" w14:textId="77777777" w:rsidR="00BB00C7" w:rsidRDefault="00BB00C7" w:rsidP="00BB00C7">
            <w:pPr>
              <w:pStyle w:val="TableContents"/>
              <w:rPr>
                <w:color w:val="00B0F0"/>
              </w:rPr>
            </w:pPr>
            <w:r w:rsidRPr="00BB00C7">
              <w:rPr>
                <w:color w:val="00B0F0"/>
              </w:rPr>
              <w:t xml:space="preserve">Til sidst i sangen siger han til </w:t>
            </w:r>
            <w:proofErr w:type="spellStart"/>
            <w:r w:rsidRPr="00BB00C7">
              <w:rPr>
                <w:color w:val="00B0F0"/>
              </w:rPr>
              <w:t>Nausikaa</w:t>
            </w:r>
            <w:proofErr w:type="spellEnd"/>
            <w:r w:rsidRPr="00BB00C7">
              <w:rPr>
                <w:color w:val="00B0F0"/>
              </w:rPr>
              <w:t xml:space="preserve"> at han håber hun finder en mand: "For der er ikke i verden en lykke større og bedre end når en mand og en kvinde er ét i sind og i tanke i deres liv med hinanden til ærgrelse for deres fjender, men deres venner til fryd og dem selv til allermest ære." Når han fortæller at ægteskab er det bedste i </w:t>
            </w:r>
            <w:proofErr w:type="gramStart"/>
            <w:r w:rsidRPr="00BB00C7">
              <w:rPr>
                <w:color w:val="00B0F0"/>
              </w:rPr>
              <w:t>verden</w:t>
            </w:r>
            <w:proofErr w:type="gramEnd"/>
            <w:r w:rsidRPr="00BB00C7">
              <w:rPr>
                <w:color w:val="00B0F0"/>
              </w:rPr>
              <w:t xml:space="preserve"> er der et tegn på </w:t>
            </w:r>
            <w:proofErr w:type="spellStart"/>
            <w:r w:rsidRPr="00BB00C7">
              <w:rPr>
                <w:color w:val="00B0F0"/>
              </w:rPr>
              <w:t>Nostalgía</w:t>
            </w:r>
            <w:proofErr w:type="spellEnd"/>
            <w:r w:rsidRPr="00BB00C7">
              <w:rPr>
                <w:color w:val="00B0F0"/>
              </w:rPr>
              <w:t xml:space="preserve"> hos Odysseus, han savner sit hjem og hans kone. Derudover giver citatet også et indblik i Odysseus liv, når han taler om relationer som venner og fjender, spejler han måske hans egne erfaringer.</w:t>
            </w:r>
          </w:p>
          <w:p w14:paraId="5072A193" w14:textId="77777777" w:rsidR="00BB00C7" w:rsidRDefault="00BB00C7">
            <w:pPr>
              <w:pStyle w:val="TableContents"/>
            </w:pPr>
          </w:p>
          <w:p w14:paraId="7D35E11D" w14:textId="77777777" w:rsidR="00566BEC" w:rsidRPr="00566BEC" w:rsidRDefault="00566BEC" w:rsidP="00566BEC">
            <w:pPr>
              <w:pStyle w:val="TableContents"/>
              <w:rPr>
                <w:color w:val="00B0F0"/>
              </w:rPr>
            </w:pPr>
            <w:r w:rsidRPr="00566BEC">
              <w:rPr>
                <w:color w:val="00B0F0"/>
              </w:rPr>
              <w:t xml:space="preserve">Han fremstiller også sig selv som ydmyg og prøver at vække en form for medlidenhed i hende, som i dette citat: ”For du er den eneste jeg tyr mig til efter utallige trængsler og ikke en eneste anden kender jeg her af det folk der bor og herrer i landet” </w:t>
            </w:r>
            <w:proofErr w:type="spellStart"/>
            <w:r w:rsidRPr="00566BEC">
              <w:rPr>
                <w:color w:val="00B0F0"/>
              </w:rPr>
              <w:t>vv</w:t>
            </w:r>
            <w:proofErr w:type="spellEnd"/>
            <w:r w:rsidRPr="00566BEC">
              <w:rPr>
                <w:color w:val="00B0F0"/>
              </w:rPr>
              <w:t>. 175-177</w:t>
            </w:r>
          </w:p>
          <w:p w14:paraId="1709FF90" w14:textId="77777777" w:rsidR="00566BEC" w:rsidRPr="00566BEC" w:rsidRDefault="00566BEC" w:rsidP="00566BEC">
            <w:pPr>
              <w:pStyle w:val="TableContents"/>
              <w:rPr>
                <w:color w:val="00B0F0"/>
              </w:rPr>
            </w:pPr>
            <w:r w:rsidRPr="00566BEC">
              <w:rPr>
                <w:color w:val="00B0F0"/>
              </w:rPr>
              <w:t xml:space="preserve">Han kender ikke andre end hende og forsøger at gøre hende opmærksom på hans sårbare situation for at få hendes opmærksomhed. </w:t>
            </w:r>
          </w:p>
          <w:p w14:paraId="57DF2280" w14:textId="77777777" w:rsidR="0042332F" w:rsidRDefault="0042332F">
            <w:pPr>
              <w:pStyle w:val="TableContents"/>
            </w:pPr>
          </w:p>
          <w:p w14:paraId="4A1A16D1" w14:textId="77777777" w:rsidR="00566BEC" w:rsidRPr="00566BEC" w:rsidRDefault="00566BEC" w:rsidP="00566BEC">
            <w:pPr>
              <w:pStyle w:val="TableContents"/>
              <w:rPr>
                <w:color w:val="00B0F0"/>
              </w:rPr>
            </w:pPr>
            <w:r w:rsidRPr="00566BEC">
              <w:rPr>
                <w:color w:val="00B0F0"/>
              </w:rPr>
              <w:t xml:space="preserve">Odysseus’ tale afslører også hans retoriske evner. Han smigrer </w:t>
            </w:r>
            <w:proofErr w:type="spellStart"/>
            <w:r w:rsidRPr="00566BEC">
              <w:rPr>
                <w:color w:val="00B0F0"/>
              </w:rPr>
              <w:t>Nausikaa</w:t>
            </w:r>
            <w:proofErr w:type="spellEnd"/>
            <w:r w:rsidRPr="00566BEC">
              <w:rPr>
                <w:color w:val="00B0F0"/>
              </w:rPr>
              <w:t xml:space="preserve"> med ord som: “Aldrig har jeg set et menneske som dig med mine øjne – kvinde eller mand” (v. 180-181). Komplimentet er både strategisk og ærligt klingende; han søger at vinde hendes sympati uden at overskride grænserne for anstændighed.</w:t>
            </w:r>
          </w:p>
          <w:p w14:paraId="65EA3DB2" w14:textId="77777777" w:rsidR="00566BEC" w:rsidRPr="00566BEC" w:rsidRDefault="00566BEC" w:rsidP="00566BEC">
            <w:pPr>
              <w:pStyle w:val="TableContents"/>
              <w:rPr>
                <w:color w:val="00B0F0"/>
              </w:rPr>
            </w:pPr>
            <w:r w:rsidRPr="00566BEC">
              <w:rPr>
                <w:color w:val="00B0F0"/>
              </w:rPr>
              <w:t xml:space="preserve">Desuden viser Odysseus sig som en mand, der trods sin svære situation bevarer troen på </w:t>
            </w:r>
            <w:r w:rsidRPr="00566BEC">
              <w:rPr>
                <w:color w:val="00B0F0"/>
              </w:rPr>
              <w:lastRenderedPageBreak/>
              <w:t>gudernes hjælp og menneskelig godhed. Hans ydmyghed og mådehold står i kontrast til mange heroiske idealer om styrke og voldsomhed – her sejrer han gennem ord og visdom snarere end våben.</w:t>
            </w:r>
          </w:p>
          <w:p w14:paraId="265811F5" w14:textId="30962456" w:rsidR="0042332F" w:rsidRPr="00566BEC" w:rsidRDefault="00566BEC">
            <w:pPr>
              <w:pStyle w:val="TableContents"/>
              <w:rPr>
                <w:color w:val="00B0F0"/>
              </w:rPr>
            </w:pPr>
            <w:r w:rsidRPr="00566BEC">
              <w:rPr>
                <w:color w:val="00B0F0"/>
              </w:rPr>
              <w:t>Odysseus fremstår således som en kompleks helt: en, der kan bøje sig uden at bryde, og som bruger sin intelligens og charme som sine stærkeste våben.</w:t>
            </w:r>
          </w:p>
          <w:p w14:paraId="1BB59BD4" w14:textId="77777777" w:rsidR="0042332F" w:rsidRDefault="0042332F">
            <w:pPr>
              <w:pStyle w:val="TableContents"/>
            </w:pPr>
          </w:p>
        </w:tc>
      </w:tr>
    </w:tbl>
    <w:p w14:paraId="0FF7491C" w14:textId="77777777" w:rsidR="0042332F" w:rsidRDefault="0042332F">
      <w:pPr>
        <w:pStyle w:val="Standard"/>
      </w:pPr>
    </w:p>
    <w:sectPr w:rsidR="0042332F">
      <w:footerReference w:type="default" r:id="rI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20E6" w14:textId="77777777" w:rsidR="0063484E" w:rsidRDefault="0063484E">
      <w:r>
        <w:separator/>
      </w:r>
    </w:p>
  </w:endnote>
  <w:endnote w:type="continuationSeparator" w:id="0">
    <w:p w14:paraId="566A963E" w14:textId="77777777" w:rsidR="0063484E" w:rsidRDefault="0063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panose1 w:val="00000000000000000000"/>
    <w:charset w:val="4D"/>
    <w:family w:val="auto"/>
    <w:pitch w:val="variable"/>
    <w:sig w:usb0="A00002FF" w:usb1="7800205A" w:usb2="14600000" w:usb3="00000000" w:csb0="00000193" w:csb1="00000000"/>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0ED1" w14:textId="77777777" w:rsidR="00000000" w:rsidRDefault="00000000">
    <w:pPr>
      <w:pStyle w:val="Sidefod"/>
      <w:jc w:val="right"/>
    </w:pPr>
    <w:r>
      <w:fldChar w:fldCharType="begin"/>
    </w:r>
    <w:r>
      <w:instrText xml:space="preserve"> PAGE </w:instrText>
    </w:r>
    <w:r>
      <w:fldChar w:fldCharType="separate"/>
    </w:r>
    <w:r>
      <w:t>3</w:t>
    </w:r>
    <w:r>
      <w:fldChar w:fldCharType="end"/>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3B91" w14:textId="77777777" w:rsidR="0063484E" w:rsidRDefault="0063484E">
      <w:r>
        <w:rPr>
          <w:color w:val="000000"/>
        </w:rPr>
        <w:separator/>
      </w:r>
    </w:p>
  </w:footnote>
  <w:footnote w:type="continuationSeparator" w:id="0">
    <w:p w14:paraId="5A42B5AF" w14:textId="77777777" w:rsidR="0063484E" w:rsidRDefault="00634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332F"/>
    <w:rsid w:val="0042332F"/>
    <w:rsid w:val="0053500C"/>
    <w:rsid w:val="00566BEC"/>
    <w:rsid w:val="00572041"/>
    <w:rsid w:val="006247EB"/>
    <w:rsid w:val="0063484E"/>
    <w:rsid w:val="00955DC5"/>
    <w:rsid w:val="00976626"/>
    <w:rsid w:val="00BB00C7"/>
    <w:rsid w:val="00E17B34"/>
    <w:rsid w:val="00F811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DD3D"/>
  <w15:docId w15:val="{D516AB8B-2D0B-6640-9FB9-D168B6B2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Songti SC" w:hAnsi="Palatino" w:cs="Arial Unicode MS"/>
        <w:kern w:val="3"/>
        <w:sz w:val="24"/>
        <w:szCs w:val="24"/>
        <w:lang w:val="da-DK"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Heading"/>
    <w:next w:val="Textbody"/>
    <w:uiPriority w:val="9"/>
    <w:unhideWhenUsed/>
    <w:qFormat/>
    <w:pPr>
      <w:spacing w:before="200"/>
      <w:outlineLvl w:val="1"/>
    </w:pPr>
    <w:rPr>
      <w:b/>
      <w:bCs/>
      <w:sz w:val="32"/>
      <w:szCs w:val="32"/>
    </w:rPr>
  </w:style>
  <w:style w:type="paragraph" w:styleId="Overskrift3">
    <w:name w:val="heading 3"/>
    <w:basedOn w:val="Heading"/>
    <w:next w:val="Textbody"/>
    <w:uiPriority w:val="9"/>
    <w:unhideWhenUsed/>
    <w:qFormat/>
    <w:pPr>
      <w:spacing w:before="14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PingFang SC"/>
      <w:sz w:val="28"/>
      <w:szCs w:val="28"/>
    </w:rPr>
  </w:style>
  <w:style w:type="paragraph" w:customStyle="1" w:styleId="Textbody">
    <w:name w:val="Text body"/>
    <w:basedOn w:val="Standard"/>
    <w:pPr>
      <w:spacing w:after="140" w:line="276" w:lineRule="auto"/>
    </w:pPr>
  </w:style>
  <w:style w:type="paragraph" w:styleId="Liste">
    <w:name w:val="List"/>
    <w:basedOn w:val="Textbody"/>
    <w:rPr>
      <w:rFonts w:eastAsia="Palatino"/>
    </w:rPr>
  </w:style>
  <w:style w:type="paragraph" w:styleId="Billedtekst">
    <w:name w:val="caption"/>
    <w:basedOn w:val="Standard"/>
    <w:pPr>
      <w:suppressLineNumbers/>
      <w:spacing w:before="120" w:after="120"/>
    </w:pPr>
    <w:rPr>
      <w:rFonts w:eastAsia="Palatino"/>
      <w:i/>
      <w:iCs/>
    </w:rPr>
  </w:style>
  <w:style w:type="paragraph" w:customStyle="1" w:styleId="Index">
    <w:name w:val="Index"/>
    <w:basedOn w:val="Standard"/>
    <w:pPr>
      <w:suppressLineNumbers/>
    </w:pPr>
    <w:rPr>
      <w:rFonts w:eastAsia="Palatino"/>
    </w:r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Sidefod">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5376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Esben Harboe Odgaard EHO</cp:lastModifiedBy>
  <cp:revision>3</cp:revision>
  <dcterms:created xsi:type="dcterms:W3CDTF">2025-10-22T07:32:00Z</dcterms:created>
  <dcterms:modified xsi:type="dcterms:W3CDTF">2025-10-22T07:33:00Z</dcterms:modified>
</cp:coreProperties>
</file>