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D5DF" w14:textId="14B0F900" w:rsidR="00C3529F" w:rsidRDefault="0074570E" w:rsidP="00740D82">
      <w:pPr>
        <w:pStyle w:val="Overskrift2"/>
      </w:pPr>
      <w:r>
        <w:t>Det tredje trin i tretrinsreglen</w:t>
      </w:r>
    </w:p>
    <w:p w14:paraId="02835A8D" w14:textId="77777777" w:rsidR="00740D82" w:rsidRPr="00740D82" w:rsidRDefault="00740D82" w:rsidP="00740D82"/>
    <w:p w14:paraId="5FB9E8DC" w14:textId="27CEAD2F" w:rsidR="00C3529F" w:rsidRDefault="00C3529F" w:rsidP="00C3529F">
      <w:pPr>
        <w:shd w:val="clear" w:color="auto" w:fill="C00000"/>
        <w:spacing w:after="0"/>
      </w:pPr>
      <w:r>
        <w:t>Sekant og sekanthældning</w:t>
      </w:r>
    </w:p>
    <w:p w14:paraId="037A848A" w14:textId="77777777" w:rsidR="00F330C6" w:rsidRDefault="00137C37" w:rsidP="00C3529F">
      <w:pPr>
        <w:spacing w:after="0"/>
      </w:pPr>
      <w:r>
        <w:t xml:space="preserve">En </w:t>
      </w:r>
      <w:r w:rsidR="00DC270E">
        <w:rPr>
          <w:b/>
          <w:bCs/>
        </w:rPr>
        <w:t>s</w:t>
      </w:r>
      <w:r>
        <w:t xml:space="preserve">ekant </w:t>
      </w:r>
      <w:r w:rsidR="00DC270E">
        <w:rPr>
          <w:b/>
          <w:bCs/>
        </w:rPr>
        <w:t>s</w:t>
      </w:r>
      <w:r>
        <w:t>kærer grafen i to punkter (sekant</w:t>
      </w:r>
      <w:r w:rsidR="008471DA">
        <w:t xml:space="preserve"> kommer af</w:t>
      </w:r>
      <w:r>
        <w:t xml:space="preserve"> latin</w:t>
      </w:r>
      <w:r w:rsidRPr="00137C37">
        <w:rPr>
          <w:i/>
          <w:iCs/>
        </w:rPr>
        <w:t xml:space="preserve"> </w:t>
      </w:r>
      <w:proofErr w:type="spellStart"/>
      <w:r w:rsidRPr="00137C37">
        <w:rPr>
          <w:i/>
          <w:iCs/>
        </w:rPr>
        <w:t>seca</w:t>
      </w:r>
      <w:r w:rsidR="008471DA">
        <w:rPr>
          <w:i/>
          <w:iCs/>
        </w:rPr>
        <w:t>re</w:t>
      </w:r>
      <w:proofErr w:type="spellEnd"/>
      <w:r w:rsidR="008471DA">
        <w:rPr>
          <w:i/>
          <w:iCs/>
        </w:rPr>
        <w:t xml:space="preserve"> ’skære’</w:t>
      </w:r>
      <w:r w:rsidR="00C3529F">
        <w:t>)</w:t>
      </w:r>
      <w:r>
        <w:t xml:space="preserve"> Sekanthældningen beregnes ved brug af to-punkts formlen</w:t>
      </w:r>
    </w:p>
    <w:p w14:paraId="1597F01D" w14:textId="77777777" w:rsidR="00F330C6" w:rsidRDefault="00F330C6" w:rsidP="00C3529F">
      <w:pPr>
        <w:spacing w:after="0"/>
      </w:pPr>
    </w:p>
    <w:p w14:paraId="4236CAD4" w14:textId="6B671D77" w:rsidR="00F330C6" w:rsidRPr="00F330C6" w:rsidRDefault="00000000" w:rsidP="00C3529F">
      <w:pP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f(x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∆x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+∆x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f(x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∆x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f(x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</m:oMath>
      </m:oMathPara>
    </w:p>
    <w:p w14:paraId="1D429D0C" w14:textId="77777777" w:rsidR="00F330C6" w:rsidRDefault="00F330C6" w:rsidP="00C3529F">
      <w:pPr>
        <w:spacing w:after="0"/>
        <w:rPr>
          <w:rFonts w:eastAsiaTheme="minorEastAsia"/>
        </w:rPr>
      </w:pPr>
    </w:p>
    <w:p w14:paraId="6F45220A" w14:textId="4E5EFF7C" w:rsidR="00C3529F" w:rsidRPr="00F330C6" w:rsidRDefault="00F330C6" w:rsidP="00C3529F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=∆x=h</m:t>
        </m:r>
      </m:oMath>
      <w:r>
        <w:rPr>
          <w:rFonts w:eastAsiaTheme="minorEastAsia"/>
        </w:rPr>
        <w:t xml:space="preserve">. Sekanthældningen </w:t>
      </w:r>
      <w:r w:rsidR="00137C37">
        <w:t xml:space="preserve">kaldes også differenskvotienten, da det er en brøk </w:t>
      </w:r>
      <w:r w:rsidR="0086718C">
        <w:t xml:space="preserve">(kvotient) </w:t>
      </w:r>
      <w:r w:rsidR="00137C37">
        <w:t xml:space="preserve">mellem differenser. </w:t>
      </w:r>
    </w:p>
    <w:p w14:paraId="415A09D3" w14:textId="77777777" w:rsidR="00C3529F" w:rsidRDefault="00C3529F" w:rsidP="00C3529F">
      <w:pPr>
        <w:spacing w:after="0"/>
      </w:pPr>
    </w:p>
    <w:p w14:paraId="574E8ADF" w14:textId="011986BF" w:rsidR="00C3529F" w:rsidRDefault="00C3529F" w:rsidP="00C3529F">
      <w:pPr>
        <w:shd w:val="clear" w:color="auto" w:fill="C00000"/>
        <w:spacing w:after="0"/>
      </w:pPr>
      <w:r>
        <w:t>Tangent og tange</w:t>
      </w:r>
      <w:r w:rsidR="00821263">
        <w:t>n</w:t>
      </w:r>
      <w:r>
        <w:t>thældning</w:t>
      </w:r>
    </w:p>
    <w:p w14:paraId="665AC9D5" w14:textId="25E45B90" w:rsidR="00D9787F" w:rsidRDefault="00137C37" w:rsidP="00C3529F">
      <w:pPr>
        <w:spacing w:after="0"/>
        <w:rPr>
          <w:rFonts w:eastAsiaTheme="minorEastAsia"/>
          <w:i/>
          <w:iCs/>
          <w:color w:val="000000" w:themeColor="text1"/>
        </w:rPr>
      </w:pPr>
      <w:r>
        <w:t xml:space="preserve">En tangent rører grafen i et enkelt punkt </w:t>
      </w:r>
      <w:r w:rsidR="00C3529F">
        <w:t>(</w:t>
      </w:r>
      <w:r w:rsidR="00D9787F">
        <w:t>t</w:t>
      </w:r>
      <w:r>
        <w:t>ange</w:t>
      </w:r>
      <w:r w:rsidR="0086718C">
        <w:t>n</w:t>
      </w:r>
      <w:r>
        <w:t xml:space="preserve">t </w:t>
      </w:r>
      <w:r w:rsidR="008471DA">
        <w:t>ko</w:t>
      </w:r>
      <w:r>
        <w:t xml:space="preserve">mmer </w:t>
      </w:r>
      <w:r w:rsidR="008471DA">
        <w:t>af</w:t>
      </w:r>
      <w:r>
        <w:t xml:space="preserve"> </w:t>
      </w:r>
      <w:r w:rsidR="0086718C">
        <w:t>latin</w:t>
      </w:r>
      <w:r>
        <w:t xml:space="preserve"> </w:t>
      </w:r>
      <w:r w:rsidR="008471DA">
        <w:t>’</w:t>
      </w:r>
      <w:r w:rsidR="0086718C">
        <w:t>be</w:t>
      </w:r>
      <w:r>
        <w:t>røre</w:t>
      </w:r>
      <w:r w:rsidR="008471DA">
        <w:t>’</w:t>
      </w:r>
      <w:r w:rsidR="00740D82">
        <w:t>)</w:t>
      </w:r>
      <w:r w:rsidR="00C3529F">
        <w:t xml:space="preserve">, </w:t>
      </w:r>
      <w:r w:rsidR="00740D82">
        <w:t>hvilket huskes bedre på engelsk: ”</w:t>
      </w:r>
      <w:r w:rsidR="0086718C" w:rsidRPr="0086718C">
        <w:rPr>
          <w:i/>
          <w:iCs/>
        </w:rPr>
        <w:t xml:space="preserve">the </w:t>
      </w:r>
      <w:r w:rsidR="0086718C" w:rsidRPr="00DC270E">
        <w:rPr>
          <w:b/>
          <w:bCs/>
          <w:i/>
          <w:iCs/>
        </w:rPr>
        <w:t>t</w:t>
      </w:r>
      <w:r w:rsidR="0086718C" w:rsidRPr="0086718C">
        <w:rPr>
          <w:i/>
          <w:iCs/>
        </w:rPr>
        <w:t xml:space="preserve">angent is </w:t>
      </w:r>
      <w:proofErr w:type="spellStart"/>
      <w:r w:rsidR="0086718C" w:rsidRPr="00DC270E">
        <w:rPr>
          <w:b/>
          <w:bCs/>
          <w:i/>
          <w:iCs/>
        </w:rPr>
        <w:t>t</w:t>
      </w:r>
      <w:r w:rsidR="0086718C" w:rsidRPr="0086718C">
        <w:rPr>
          <w:i/>
          <w:iCs/>
        </w:rPr>
        <w:t>ouching</w:t>
      </w:r>
      <w:proofErr w:type="spellEnd"/>
      <w:r w:rsidR="0086718C" w:rsidRPr="0086718C">
        <w:rPr>
          <w:i/>
          <w:iCs/>
        </w:rPr>
        <w:t xml:space="preserve"> the </w:t>
      </w:r>
      <w:proofErr w:type="spellStart"/>
      <w:r w:rsidR="0086718C" w:rsidRPr="0086718C">
        <w:rPr>
          <w:i/>
          <w:iCs/>
        </w:rPr>
        <w:t>curve</w:t>
      </w:r>
      <w:proofErr w:type="spellEnd"/>
      <w:r w:rsidR="00740D82">
        <w:rPr>
          <w:i/>
          <w:iCs/>
        </w:rPr>
        <w:t>”</w:t>
      </w:r>
      <w:r w:rsidR="0086718C">
        <w:t>)</w:t>
      </w:r>
      <w:r w:rsidR="00D9787F">
        <w:t xml:space="preserve">. </w:t>
      </w:r>
      <w:r w:rsidR="00D9787F" w:rsidRPr="001F46B6">
        <w:rPr>
          <w:color w:val="000000" w:themeColor="text1"/>
        </w:rPr>
        <w:t xml:space="preserve">Tangenthældningen </w:t>
      </w:r>
      <w:r w:rsidR="00D9787F">
        <w:rPr>
          <w:color w:val="000000" w:themeColor="text1"/>
        </w:rPr>
        <w:t>(</w:t>
      </w:r>
      <w:r w:rsidR="00D9787F">
        <w:t>differentialkvotienten</w:t>
      </w:r>
      <w:r w:rsidR="00740D82">
        <w:t>),</w:t>
      </w:r>
      <w:r w:rsidR="00D9787F" w:rsidRPr="001F46B6">
        <w:rPr>
          <w:color w:val="000000" w:themeColor="text1"/>
        </w:rPr>
        <w:t xml:space="preserve"> er </w:t>
      </w:r>
      <w:r w:rsidR="00D9787F" w:rsidRPr="00263FB0">
        <w:rPr>
          <w:i/>
          <w:iCs/>
          <w:color w:val="000000" w:themeColor="text1"/>
        </w:rPr>
        <w:t>defineret</w:t>
      </w:r>
      <w:r w:rsidR="00D9787F" w:rsidRPr="001F46B6">
        <w:rPr>
          <w:color w:val="000000" w:themeColor="text1"/>
        </w:rPr>
        <w:t xml:space="preserve"> som grænseværdien for sekanthældningerne, hvilket kan skrives som: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nor/>
              </m:rPr>
              <w:rPr>
                <w:rFonts w:ascii="Cambria Math" w:hAnsi="Cambria Math"/>
                <w:color w:val="000000" w:themeColor="text1"/>
              </w:rPr>
              <m:t>s</m:t>
            </m:r>
          </m:sub>
        </m:sSub>
        <m:r>
          <w:rPr>
            <w:rFonts w:ascii="Cambria Math" w:hAnsi="Cambria Math"/>
            <w:color w:val="000000" w:themeColor="text1"/>
          </w:rPr>
          <m:t>→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m:rPr>
                <m:nor/>
              </m:rP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 xml:space="preserve">, </m:t>
        </m:r>
        <m:r>
          <m:rPr>
            <m:nor/>
          </m:rPr>
          <w:rPr>
            <w:rFonts w:ascii="Cambria Math" w:hAnsi="Cambria Math"/>
            <w:color w:val="000000" w:themeColor="text1"/>
          </w:rPr>
          <m:t>når</m:t>
        </m:r>
        <m:r>
          <w:rPr>
            <w:rFonts w:ascii="Cambria Math" w:hAnsi="Cambria Math"/>
            <w:color w:val="000000" w:themeColor="text1"/>
          </w:rPr>
          <m:t xml:space="preserve"> h→</m:t>
        </m:r>
        <m:r>
          <w:rPr>
            <w:rFonts w:ascii="Cambria Math" w:hAnsi="Cambria Math"/>
            <w:color w:val="000000" w:themeColor="text1"/>
          </w:rPr>
          <m:t>0</m:t>
        </m:r>
      </m:oMath>
      <w:r w:rsidR="00D9787F">
        <w:rPr>
          <w:rFonts w:eastAsiaTheme="minorEastAsia"/>
          <w:color w:val="000000" w:themeColor="text1"/>
        </w:rPr>
        <w:t>.</w:t>
      </w:r>
      <w:r w:rsidR="00D9787F">
        <w:rPr>
          <w:color w:val="000000" w:themeColor="text1"/>
        </w:rPr>
        <w:t xml:space="preserve"> </w:t>
      </w:r>
      <w:r w:rsidR="00D9787F">
        <w:rPr>
          <w:rFonts w:eastAsiaTheme="minorEastAsia"/>
          <w:iCs/>
          <w:color w:val="000000" w:themeColor="text1"/>
        </w:rPr>
        <w:t xml:space="preserve">Tangenten er den entydig bestemte linje med hældningen </w:t>
      </w:r>
      <m:oMath>
        <m:r>
          <w:rPr>
            <w:rFonts w:ascii="Cambria Math" w:eastAsiaTheme="minorEastAsia" w:hAnsi="Cambria Math"/>
            <w:color w:val="000000" w:themeColor="text1"/>
          </w:rPr>
          <m:t>f'(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D9787F">
        <w:rPr>
          <w:rFonts w:eastAsiaTheme="minorEastAsia"/>
        </w:rPr>
        <w:t xml:space="preserve">, </w:t>
      </w:r>
      <w:r w:rsidR="00D9787F">
        <w:rPr>
          <w:rFonts w:eastAsiaTheme="minorEastAsia"/>
          <w:iCs/>
          <w:color w:val="000000" w:themeColor="text1"/>
        </w:rPr>
        <w:t xml:space="preserve">som sekanterne nærmer sig, når </w:t>
      </w:r>
      <m:oMath>
        <m:r>
          <w:rPr>
            <w:rFonts w:ascii="Cambria Math" w:eastAsiaTheme="minorEastAsia" w:hAnsi="Cambria Math"/>
            <w:color w:val="000000" w:themeColor="text1"/>
          </w:rPr>
          <m:t>x</m:t>
        </m:r>
        <m:r>
          <w:rPr>
            <w:rFonts w:ascii="Cambria Math" w:hAnsi="Cambria Math"/>
            <w:color w:val="000000" w:themeColor="text1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9787F">
        <w:rPr>
          <w:rFonts w:eastAsiaTheme="minorEastAsia"/>
        </w:rPr>
        <w:t xml:space="preserve">. </w:t>
      </w:r>
      <w:r w:rsidR="00D9787F">
        <w:rPr>
          <w:rFonts w:eastAsiaTheme="minorEastAsia"/>
          <w:i/>
          <w:iCs/>
          <w:color w:val="000000" w:themeColor="text1"/>
        </w:rPr>
        <w:t xml:space="preserve">Tangenten er sekanternes endestation. </w:t>
      </w:r>
    </w:p>
    <w:p w14:paraId="14C64CEE" w14:textId="77777777" w:rsidR="00C3529F" w:rsidRPr="006D1104" w:rsidRDefault="00C3529F" w:rsidP="00C3529F">
      <w:pPr>
        <w:spacing w:after="0"/>
        <w:rPr>
          <w:iCs/>
          <w:color w:val="000000" w:themeColor="text1"/>
        </w:rPr>
      </w:pPr>
    </w:p>
    <w:p w14:paraId="00624B73" w14:textId="45740685" w:rsidR="00995BDB" w:rsidRPr="00174228" w:rsidRDefault="00CC7E89" w:rsidP="00174228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1. </w:t>
      </w:r>
      <w:r w:rsidR="00995BDB" w:rsidRPr="00174228">
        <w:rPr>
          <w:color w:val="00B050"/>
        </w:rPr>
        <w:t>Kvadratfunktionen</w:t>
      </w:r>
      <w:r w:rsidR="00FF44E0">
        <w:rPr>
          <w:color w:val="00B050"/>
        </w:rPr>
        <w:t xml:space="preserve">. Når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</w:rPr>
              <m:t>0</m:t>
            </m:r>
          </m:sub>
        </m:sSub>
        <m:r>
          <w:rPr>
            <w:rFonts w:ascii="Cambria Math" w:hAnsi="Cambria Math"/>
            <w:color w:val="00B050"/>
          </w:rPr>
          <m:t>=1,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B050"/>
          </w:rPr>
          <m:t>så går</m:t>
        </m:r>
        <m:r>
          <w:rPr>
            <w:rFonts w:ascii="Cambria Math" w:hAnsi="Cambria Math"/>
            <w:color w:val="00B050"/>
          </w:rPr>
          <m:t xml:space="preserve"> </m:t>
        </m:r>
      </m:oMath>
      <w:r w:rsidR="00FF44E0">
        <w:rPr>
          <w:color w:val="00B050"/>
        </w:rPr>
        <w:t>sekanthældninge</w:t>
      </w:r>
      <w:r w:rsidR="00137C37">
        <w:rPr>
          <w:color w:val="00B050"/>
        </w:rPr>
        <w:t>n</w:t>
      </w:r>
      <w:r w:rsidR="00FF44E0">
        <w:rPr>
          <w:color w:val="00B050"/>
        </w:rPr>
        <w:t xml:space="preserve"> mod 2, når </w:t>
      </w:r>
      <w:r w:rsidR="00FF44E0" w:rsidRPr="00FF44E0">
        <w:rPr>
          <w:i/>
          <w:iCs/>
          <w:color w:val="00B050"/>
        </w:rPr>
        <w:t>h</w:t>
      </w:r>
      <w:r w:rsidR="00FF44E0">
        <w:rPr>
          <w:color w:val="00B050"/>
        </w:rPr>
        <w:t xml:space="preserve"> går mod 0.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570E" w14:paraId="51F6ADBE" w14:textId="77777777" w:rsidTr="00486E51">
        <w:tc>
          <w:tcPr>
            <w:tcW w:w="3209" w:type="dxa"/>
          </w:tcPr>
          <w:p w14:paraId="1F305E77" w14:textId="77777777" w:rsidR="0074570E" w:rsidRDefault="0074570E" w:rsidP="00174228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209" w:type="dxa"/>
          </w:tcPr>
          <w:p w14:paraId="1DA4B71A" w14:textId="77777777" w:rsidR="0074570E" w:rsidRDefault="00000000" w:rsidP="0017422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531118F1" w14:textId="72D499AC" w:rsidR="0074570E" w:rsidRDefault="00000000" w:rsidP="0017422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+h=</m:t>
                </m:r>
                <m:r>
                  <w:rPr>
                    <w:rFonts w:ascii="Cambria Math" w:hAnsi="Cambria Math"/>
                  </w:rPr>
                  <m:t>1+0,1=1,1</m:t>
                </m:r>
              </m:oMath>
            </m:oMathPara>
          </w:p>
        </w:tc>
      </w:tr>
      <w:tr w:rsidR="0074570E" w14:paraId="37FB1918" w14:textId="77777777" w:rsidTr="00486E51">
        <w:tc>
          <w:tcPr>
            <w:tcW w:w="3209" w:type="dxa"/>
          </w:tcPr>
          <w:p w14:paraId="7F7423D7" w14:textId="27DB5222" w:rsidR="0074570E" w:rsidRDefault="0074570E" w:rsidP="00486E51">
            <m:oMathPara>
              <m:oMath>
                <m:r>
                  <w:rPr>
                    <w:rFonts w:ascii="Cambria Math" w:hAnsi="Cambria Math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209" w:type="dxa"/>
          </w:tcPr>
          <w:p w14:paraId="258FFCCC" w14:textId="0C3774E2" w:rsidR="0074570E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)=1</m:t>
                </m:r>
              </m:oMath>
            </m:oMathPara>
          </w:p>
        </w:tc>
        <w:tc>
          <w:tcPr>
            <w:tcW w:w="3210" w:type="dxa"/>
          </w:tcPr>
          <w:p w14:paraId="1FE1E42B" w14:textId="77F0D032" w:rsidR="0074570E" w:rsidRDefault="0074570E" w:rsidP="00486E51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+h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=1,21</m:t>
                </m:r>
              </m:oMath>
            </m:oMathPara>
          </w:p>
        </w:tc>
      </w:tr>
    </w:tbl>
    <w:p w14:paraId="3DD448A0" w14:textId="77777777" w:rsidR="0074570E" w:rsidRDefault="0074570E"/>
    <w:p w14:paraId="06E131B1" w14:textId="2A3F9CB8" w:rsidR="00995BDB" w:rsidRDefault="0000000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f(x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1,21-1</m:t>
              </m:r>
            </m:num>
            <m:den>
              <m:r>
                <w:rPr>
                  <w:rFonts w:ascii="Cambria Math" w:hAnsi="Cambria Math"/>
                </w:rPr>
                <m:t>0,1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0,21</m:t>
              </m:r>
            </m:num>
            <m:den>
              <m:r>
                <w:rPr>
                  <w:rFonts w:ascii="Cambria Math" w:hAnsi="Cambria Math"/>
                </w:rPr>
                <m:t>0,1</m:t>
              </m:r>
            </m:den>
          </m:f>
          <m:r>
            <w:rPr>
              <w:rFonts w:ascii="Cambria Math" w:hAnsi="Cambria Math"/>
            </w:rPr>
            <m:t>=2,1</m:t>
          </m:r>
        </m:oMath>
      </m:oMathPara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570E" w14:paraId="4E182389" w14:textId="77777777" w:rsidTr="00486E51">
        <w:tc>
          <w:tcPr>
            <w:tcW w:w="3209" w:type="dxa"/>
          </w:tcPr>
          <w:p w14:paraId="2D432F0F" w14:textId="77777777" w:rsidR="0074570E" w:rsidRDefault="0074570E" w:rsidP="00486E5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209" w:type="dxa"/>
          </w:tcPr>
          <w:p w14:paraId="057127CC" w14:textId="77777777" w:rsidR="0074570E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61106C50" w14:textId="291B64C0" w:rsidR="0074570E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+h=</m:t>
                </m:r>
                <m:r>
                  <w:rPr>
                    <w:rFonts w:ascii="Cambria Math" w:hAnsi="Cambria Math"/>
                  </w:rPr>
                  <m:t>1,01</m:t>
                </m:r>
              </m:oMath>
            </m:oMathPara>
          </w:p>
        </w:tc>
      </w:tr>
      <w:tr w:rsidR="0074570E" w14:paraId="49717234" w14:textId="77777777" w:rsidTr="00486E51">
        <w:tc>
          <w:tcPr>
            <w:tcW w:w="3209" w:type="dxa"/>
          </w:tcPr>
          <w:p w14:paraId="0F181CE2" w14:textId="6A765400" w:rsidR="0074570E" w:rsidRDefault="00000000" w:rsidP="00486E51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y=f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209" w:type="dxa"/>
          </w:tcPr>
          <w:p w14:paraId="2B18C2F9" w14:textId="77777777" w:rsidR="0074570E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0)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6FFC9F20" w14:textId="7C9D3C51" w:rsidR="0074570E" w:rsidRDefault="0074570E" w:rsidP="00486E51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+h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=1,0201</m:t>
                </m:r>
              </m:oMath>
            </m:oMathPara>
          </w:p>
        </w:tc>
      </w:tr>
    </w:tbl>
    <w:p w14:paraId="6D1A947E" w14:textId="77777777" w:rsidR="0074570E" w:rsidRDefault="0074570E"/>
    <w:p w14:paraId="6C245918" w14:textId="5E55C714" w:rsidR="00995BDB" w:rsidRPr="00DC5016" w:rsidRDefault="00000000" w:rsidP="00995BD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f(x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1,0201-1</m:t>
              </m:r>
            </m:num>
            <m:den>
              <m:r>
                <w:rPr>
                  <w:rFonts w:ascii="Cambria Math" w:hAnsi="Cambria Math"/>
                </w:rPr>
                <m:t>0,01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0,0201</m:t>
              </m:r>
            </m:num>
            <m:den>
              <m:r>
                <w:rPr>
                  <w:rFonts w:ascii="Cambria Math" w:hAnsi="Cambria Math"/>
                </w:rPr>
                <m:t>0,01</m:t>
              </m:r>
            </m:den>
          </m:f>
          <m:r>
            <w:rPr>
              <w:rFonts w:ascii="Cambria Math" w:hAnsi="Cambria Math"/>
            </w:rPr>
            <m:t>=2,01</m:t>
          </m:r>
        </m:oMath>
      </m:oMathPara>
    </w:p>
    <w:p w14:paraId="05FA2CFA" w14:textId="04C95B17" w:rsidR="00DC5016" w:rsidRPr="00DC5016" w:rsidRDefault="00DC5016" w:rsidP="00DC5016">
      <w:pPr>
        <w:rPr>
          <w:rFonts w:eastAsiaTheme="minorEastAsia"/>
          <w:i/>
          <w:iCs/>
        </w:rPr>
      </w:pPr>
      <w:r w:rsidRPr="00DC5016">
        <w:rPr>
          <w:rFonts w:eastAsiaTheme="minorEastAsia"/>
          <w:i/>
          <w:iCs/>
        </w:rPr>
        <w:t xml:space="preserve">Læg mærke til at tæller og nævner skrumper i takt, så brøken går mod </w:t>
      </w:r>
      <w:r>
        <w:rPr>
          <w:rFonts w:eastAsiaTheme="minorEastAsia"/>
          <w:i/>
          <w:iCs/>
        </w:rPr>
        <w:t>e</w:t>
      </w:r>
      <w:r w:rsidRPr="00DC5016">
        <w:rPr>
          <w:rFonts w:eastAsiaTheme="minorEastAsia"/>
          <w:i/>
          <w:iCs/>
        </w:rPr>
        <w:t>t fast tal</w:t>
      </w:r>
    </w:p>
    <w:p w14:paraId="18311CF8" w14:textId="02766CDF" w:rsidR="0012441F" w:rsidRDefault="0012441F" w:rsidP="00995BDB">
      <w:pPr>
        <w:rPr>
          <w:rFonts w:eastAsiaTheme="minorEastAsia"/>
        </w:rPr>
      </w:pPr>
      <w:r>
        <w:rPr>
          <w:rFonts w:eastAsiaTheme="minorEastAsia"/>
        </w:rPr>
        <w:t>De samme sekanthældninger fås også ved at indsætte i formlen for sekanthældningen</w:t>
      </w:r>
      <w:r w:rsidR="00821263">
        <w:rPr>
          <w:rFonts w:eastAsiaTheme="minorEastAsia"/>
        </w:rPr>
        <w:t xml:space="preserve"> </w:t>
      </w:r>
    </w:p>
    <w:p w14:paraId="5E16B9B1" w14:textId="010B0BA6" w:rsidR="0012441F" w:rsidRPr="00DC270E" w:rsidRDefault="00000000" w:rsidP="00995BD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+h</m:t>
          </m:r>
        </m:oMath>
      </m:oMathPara>
    </w:p>
    <w:p w14:paraId="13E5C7DA" w14:textId="60292781" w:rsidR="00DC270E" w:rsidRPr="00821263" w:rsidRDefault="00DC270E" w:rsidP="00995BDB">
      <w:pPr>
        <w:rPr>
          <w:rFonts w:eastAsiaTheme="minorEastAsia"/>
        </w:rPr>
      </w:pPr>
      <w:r>
        <w:rPr>
          <w:rFonts w:eastAsiaTheme="minorEastAsia"/>
        </w:rPr>
        <w:t xml:space="preserve">Indsættes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h=0,1</m:t>
        </m:r>
      </m:oMath>
    </w:p>
    <w:p w14:paraId="69A3B6C3" w14:textId="3157D2FA" w:rsidR="001F46B6" w:rsidRPr="00F330C6" w:rsidRDefault="00000000" w:rsidP="001F46B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 xml:space="preserve">=2∙1+0,1=2,1 </m:t>
          </m:r>
        </m:oMath>
      </m:oMathPara>
    </w:p>
    <w:p w14:paraId="0F369B91" w14:textId="77777777" w:rsidR="00F330C6" w:rsidRPr="00821263" w:rsidRDefault="00F330C6" w:rsidP="001F46B6">
      <w:pPr>
        <w:rPr>
          <w:rFonts w:eastAsiaTheme="minorEastAsia"/>
        </w:rPr>
      </w:pPr>
    </w:p>
    <w:p w14:paraId="38E2813A" w14:textId="3F6FED33" w:rsidR="00995BDB" w:rsidRPr="00174228" w:rsidRDefault="00CC7E89" w:rsidP="00174228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2. </w:t>
      </w:r>
      <w:r w:rsidR="00995BDB" w:rsidRPr="00174228">
        <w:rPr>
          <w:color w:val="00B050"/>
        </w:rPr>
        <w:t>Kvadratrodsfunktionen</w:t>
      </w:r>
      <w:r w:rsidR="00FF44E0">
        <w:rPr>
          <w:color w:val="00B050"/>
        </w:rPr>
        <w:t xml:space="preserve">. Når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</w:rPr>
              <m:t>0</m:t>
            </m:r>
          </m:sub>
        </m:sSub>
        <m:r>
          <w:rPr>
            <w:rFonts w:ascii="Cambria Math" w:hAnsi="Cambria Math"/>
            <w:color w:val="00B050"/>
          </w:rPr>
          <m:t>=1,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B050"/>
          </w:rPr>
          <m:t>så går</m:t>
        </m:r>
        <m:r>
          <w:rPr>
            <w:rFonts w:ascii="Cambria Math" w:hAnsi="Cambria Math"/>
            <w:color w:val="00B050"/>
          </w:rPr>
          <m:t xml:space="preserve"> </m:t>
        </m:r>
      </m:oMath>
      <w:r w:rsidR="00FF44E0">
        <w:rPr>
          <w:color w:val="00B050"/>
        </w:rPr>
        <w:t>sekanthældninge</w:t>
      </w:r>
      <w:r w:rsidR="00137C37">
        <w:rPr>
          <w:color w:val="00B050"/>
        </w:rPr>
        <w:t>n</w:t>
      </w:r>
      <w:r w:rsidR="00FF44E0">
        <w:rPr>
          <w:color w:val="00B050"/>
        </w:rPr>
        <w:t xml:space="preserve"> mod ½, når </w:t>
      </w:r>
      <w:r w:rsidR="00FF44E0" w:rsidRPr="00FF44E0">
        <w:rPr>
          <w:i/>
          <w:iCs/>
          <w:color w:val="00B050"/>
        </w:rPr>
        <w:t>h</w:t>
      </w:r>
      <w:r w:rsidR="00FF44E0">
        <w:rPr>
          <w:color w:val="00B050"/>
        </w:rPr>
        <w:t xml:space="preserve"> går mod 0.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570E" w14:paraId="3A7B8483" w14:textId="77777777" w:rsidTr="00486E51">
        <w:tc>
          <w:tcPr>
            <w:tcW w:w="3209" w:type="dxa"/>
          </w:tcPr>
          <w:p w14:paraId="10D0F2BB" w14:textId="77777777" w:rsidR="0074570E" w:rsidRDefault="0074570E" w:rsidP="00174228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209" w:type="dxa"/>
          </w:tcPr>
          <w:p w14:paraId="3AFCB04C" w14:textId="77777777" w:rsidR="0074570E" w:rsidRDefault="00000000" w:rsidP="0017422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0B042E93" w14:textId="109DC067" w:rsidR="0074570E" w:rsidRDefault="00000000" w:rsidP="0017422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+h=</m:t>
                </m:r>
                <m:r>
                  <w:rPr>
                    <w:rFonts w:ascii="Cambria Math" w:hAnsi="Cambria Math"/>
                  </w:rPr>
                  <m:t>1+0,21=1,21</m:t>
                </m:r>
              </m:oMath>
            </m:oMathPara>
          </w:p>
        </w:tc>
      </w:tr>
      <w:tr w:rsidR="0074570E" w14:paraId="76C26810" w14:textId="77777777" w:rsidTr="00486E51">
        <w:tc>
          <w:tcPr>
            <w:tcW w:w="3209" w:type="dxa"/>
          </w:tcPr>
          <w:p w14:paraId="2F975787" w14:textId="7AACCC9D" w:rsidR="0074570E" w:rsidRDefault="0074570E" w:rsidP="00486E51">
            <m:oMathPara>
              <m:oMath>
                <m:r>
                  <w:rPr>
                    <w:rFonts w:ascii="Cambria Math" w:hAnsi="Cambria Math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209" w:type="dxa"/>
          </w:tcPr>
          <w:p w14:paraId="5C05A9E3" w14:textId="77777777" w:rsidR="0074570E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0)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60534D1E" w14:textId="09973759" w:rsidR="0074570E" w:rsidRDefault="0074570E" w:rsidP="00486E51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+h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1,21</m:t>
                    </m:r>
                  </m:e>
                </m:rad>
                <m:r>
                  <w:rPr>
                    <w:rFonts w:ascii="Cambria Math" w:hAnsi="Cambria Math"/>
                  </w:rPr>
                  <m:t>=1,1</m:t>
                </m:r>
              </m:oMath>
            </m:oMathPara>
          </w:p>
        </w:tc>
      </w:tr>
    </w:tbl>
    <w:p w14:paraId="341D1FC1" w14:textId="77777777" w:rsidR="0074570E" w:rsidRDefault="0074570E"/>
    <w:p w14:paraId="22FD6ADF" w14:textId="1F1B6FE5" w:rsidR="00995BDB" w:rsidRDefault="00000000" w:rsidP="00995BD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f(x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1,1-1</m:t>
              </m:r>
            </m:num>
            <m:den>
              <m:r>
                <w:rPr>
                  <w:rFonts w:ascii="Cambria Math" w:hAnsi="Cambria Math"/>
                </w:rPr>
                <m:t>0,21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0,1</m:t>
              </m:r>
            </m:num>
            <m:den>
              <m:r>
                <w:rPr>
                  <w:rFonts w:ascii="Cambria Math" w:hAnsi="Cambria Math"/>
                </w:rPr>
                <m:t>0,21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2,1</m:t>
              </m:r>
            </m:den>
          </m:f>
        </m:oMath>
      </m:oMathPara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5BDB" w14:paraId="690CD854" w14:textId="77777777" w:rsidTr="00486E51">
        <w:tc>
          <w:tcPr>
            <w:tcW w:w="3209" w:type="dxa"/>
          </w:tcPr>
          <w:p w14:paraId="6EF9C4D3" w14:textId="77777777" w:rsidR="00995BDB" w:rsidRDefault="00995BDB" w:rsidP="00486E5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209" w:type="dxa"/>
          </w:tcPr>
          <w:p w14:paraId="7F00CE5B" w14:textId="77777777" w:rsidR="00995BDB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5CF97510" w14:textId="439597E4" w:rsidR="00995BDB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+h=</m:t>
                </m:r>
                <m:r>
                  <w:rPr>
                    <w:rFonts w:ascii="Cambria Math" w:hAnsi="Cambria Math"/>
                  </w:rPr>
                  <m:t>1,0201</m:t>
                </m:r>
              </m:oMath>
            </m:oMathPara>
          </w:p>
        </w:tc>
      </w:tr>
      <w:tr w:rsidR="00995BDB" w14:paraId="442AA0A4" w14:textId="77777777" w:rsidTr="00486E51">
        <w:tc>
          <w:tcPr>
            <w:tcW w:w="3209" w:type="dxa"/>
          </w:tcPr>
          <w:p w14:paraId="2CD3EF79" w14:textId="77777777" w:rsidR="00995BDB" w:rsidRDefault="00995BDB" w:rsidP="00486E51">
            <m:oMathPara>
              <m:oMath>
                <m:r>
                  <w:rPr>
                    <w:rFonts w:ascii="Cambria Math" w:hAnsi="Cambria Math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209" w:type="dxa"/>
          </w:tcPr>
          <w:p w14:paraId="5996D071" w14:textId="77777777" w:rsidR="00995BDB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0)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09C776F1" w14:textId="1EAAA157" w:rsidR="00995BDB" w:rsidRDefault="00995BDB" w:rsidP="00486E51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+h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1,0201</m:t>
                    </m:r>
                  </m:e>
                </m:rad>
                <m:r>
                  <w:rPr>
                    <w:rFonts w:ascii="Cambria Math" w:hAnsi="Cambria Math"/>
                  </w:rPr>
                  <m:t>=1,01</m:t>
                </m:r>
              </m:oMath>
            </m:oMathPara>
          </w:p>
        </w:tc>
      </w:tr>
    </w:tbl>
    <w:p w14:paraId="365CA155" w14:textId="77777777" w:rsidR="0074570E" w:rsidRDefault="0074570E"/>
    <w:p w14:paraId="60339302" w14:textId="69E699F1" w:rsidR="00995BDB" w:rsidRPr="00DC5016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f(x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1,01-1</m:t>
              </m:r>
            </m:num>
            <m:den>
              <m:r>
                <w:rPr>
                  <w:rFonts w:ascii="Cambria Math" w:hAnsi="Cambria Math"/>
                </w:rPr>
                <m:t>0,0201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0,0201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2,01</m:t>
              </m:r>
            </m:den>
          </m:f>
        </m:oMath>
      </m:oMathPara>
    </w:p>
    <w:p w14:paraId="5241288F" w14:textId="26760348" w:rsidR="00DC5016" w:rsidRPr="00DC5016" w:rsidRDefault="00DC5016">
      <w:pPr>
        <w:rPr>
          <w:rFonts w:eastAsiaTheme="minorEastAsia"/>
          <w:i/>
          <w:iCs/>
        </w:rPr>
      </w:pPr>
      <w:r w:rsidRPr="00DC5016">
        <w:rPr>
          <w:rFonts w:eastAsiaTheme="minorEastAsia"/>
          <w:i/>
          <w:iCs/>
        </w:rPr>
        <w:t xml:space="preserve">Læg mærke til at tæller og nævner skrumper i takt, så brøken går mod </w:t>
      </w:r>
      <w:r>
        <w:rPr>
          <w:rFonts w:eastAsiaTheme="minorEastAsia"/>
          <w:i/>
          <w:iCs/>
        </w:rPr>
        <w:t>e</w:t>
      </w:r>
      <w:r w:rsidRPr="00DC5016">
        <w:rPr>
          <w:rFonts w:eastAsiaTheme="minorEastAsia"/>
          <w:i/>
          <w:iCs/>
        </w:rPr>
        <w:t>t fast tal</w:t>
      </w:r>
    </w:p>
    <w:p w14:paraId="4FC8A965" w14:textId="212821EB" w:rsidR="0012441F" w:rsidRDefault="0012441F" w:rsidP="0012441F">
      <w:pPr>
        <w:rPr>
          <w:rFonts w:eastAsiaTheme="minorEastAsia"/>
        </w:rPr>
      </w:pPr>
      <w:r>
        <w:rPr>
          <w:rFonts w:eastAsiaTheme="minorEastAsia"/>
        </w:rPr>
        <w:t xml:space="preserve">De samme sekanthældninger fås også ved at indsætte i formlen for sekanthældningen </w:t>
      </w:r>
    </w:p>
    <w:p w14:paraId="1FC557EC" w14:textId="51D4AF6E" w:rsidR="00821263" w:rsidRPr="00DC270E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rad>
            </m:den>
          </m:f>
        </m:oMath>
      </m:oMathPara>
    </w:p>
    <w:p w14:paraId="2C43991A" w14:textId="43AA6291" w:rsidR="00DC270E" w:rsidRDefault="00DC270E">
      <w:pPr>
        <w:rPr>
          <w:rFonts w:eastAsiaTheme="minorEastAsia"/>
        </w:rPr>
      </w:pPr>
      <w:r>
        <w:rPr>
          <w:rFonts w:eastAsiaTheme="minorEastAsia"/>
        </w:rPr>
        <w:t xml:space="preserve">Indsættes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h=0,21</m:t>
        </m:r>
      </m:oMath>
    </w:p>
    <w:p w14:paraId="1197494F" w14:textId="70BAFBAE" w:rsidR="00821263" w:rsidRPr="00D9787F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1+0,21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1,1+1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2,1</m:t>
              </m:r>
            </m:den>
          </m:f>
        </m:oMath>
      </m:oMathPara>
    </w:p>
    <w:p w14:paraId="2BA99D02" w14:textId="28CFDDE3" w:rsidR="00FF44E0" w:rsidRPr="00174228" w:rsidRDefault="00CC7E89" w:rsidP="00FF44E0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3. </w:t>
      </w:r>
      <w:r w:rsidR="00174228" w:rsidRPr="00174228">
        <w:rPr>
          <w:color w:val="00B050"/>
        </w:rPr>
        <w:t>R</w:t>
      </w:r>
      <w:r w:rsidR="00995BDB" w:rsidRPr="00174228">
        <w:rPr>
          <w:color w:val="00B050"/>
        </w:rPr>
        <w:t>eciprokfunktionen</w:t>
      </w:r>
      <w:r w:rsidR="00FF44E0" w:rsidRPr="00FF44E0">
        <w:rPr>
          <w:color w:val="00B050"/>
        </w:rPr>
        <w:t xml:space="preserve"> </w:t>
      </w:r>
      <w:r w:rsidR="00FF44E0">
        <w:rPr>
          <w:color w:val="00B050"/>
        </w:rPr>
        <w:t xml:space="preserve">Når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</w:rPr>
              <m:t>0</m:t>
            </m:r>
          </m:sub>
        </m:sSub>
        <m:r>
          <w:rPr>
            <w:rFonts w:ascii="Cambria Math" w:hAnsi="Cambria Math"/>
            <w:color w:val="00B050"/>
          </w:rPr>
          <m:t xml:space="preserve">=1, </m:t>
        </m:r>
        <m:r>
          <m:rPr>
            <m:sty m:val="p"/>
          </m:rPr>
          <w:rPr>
            <w:rFonts w:ascii="Cambria Math" w:hAnsi="Cambria Math"/>
            <w:color w:val="00B050"/>
          </w:rPr>
          <m:t>så går</m:t>
        </m:r>
        <m:r>
          <w:rPr>
            <w:rFonts w:ascii="Cambria Math" w:hAnsi="Cambria Math"/>
            <w:color w:val="00B050"/>
          </w:rPr>
          <m:t xml:space="preserve"> </m:t>
        </m:r>
      </m:oMath>
      <w:r w:rsidR="00FF44E0">
        <w:rPr>
          <w:color w:val="00B050"/>
        </w:rPr>
        <w:t>sekanthældninge</w:t>
      </w:r>
      <w:r w:rsidR="00137C37">
        <w:rPr>
          <w:color w:val="00B050"/>
        </w:rPr>
        <w:t>n</w:t>
      </w:r>
      <w:r w:rsidR="00FF44E0">
        <w:rPr>
          <w:color w:val="00B050"/>
        </w:rPr>
        <w:t xml:space="preserve"> mod -1, når </w:t>
      </w:r>
      <w:r w:rsidR="00FF44E0" w:rsidRPr="00FF44E0">
        <w:rPr>
          <w:i/>
          <w:iCs/>
          <w:color w:val="00B050"/>
        </w:rPr>
        <w:t>h</w:t>
      </w:r>
      <w:r w:rsidR="00FF44E0">
        <w:rPr>
          <w:color w:val="00B050"/>
        </w:rPr>
        <w:t xml:space="preserve"> går mod 0.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570E" w14:paraId="78AC5717" w14:textId="77777777" w:rsidTr="0074570E">
        <w:tc>
          <w:tcPr>
            <w:tcW w:w="3209" w:type="dxa"/>
          </w:tcPr>
          <w:p w14:paraId="4CFDFA74" w14:textId="1E3ECCE7" w:rsidR="0074570E" w:rsidRDefault="0074570E" w:rsidP="00174228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209" w:type="dxa"/>
          </w:tcPr>
          <w:p w14:paraId="467E140C" w14:textId="457369D2" w:rsidR="0074570E" w:rsidRDefault="00000000" w:rsidP="0017422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6DD3FD61" w14:textId="4AC9C817" w:rsidR="0074570E" w:rsidRDefault="00000000" w:rsidP="0017422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+h=</m:t>
                </m:r>
                <m:r>
                  <w:rPr>
                    <w:rFonts w:ascii="Cambria Math" w:hAnsi="Cambria Math"/>
                  </w:rPr>
                  <m:t>1,1</m:t>
                </m:r>
              </m:oMath>
            </m:oMathPara>
          </w:p>
        </w:tc>
      </w:tr>
      <w:tr w:rsidR="0074570E" w14:paraId="27552C91" w14:textId="77777777" w:rsidTr="0074570E">
        <w:tc>
          <w:tcPr>
            <w:tcW w:w="3209" w:type="dxa"/>
          </w:tcPr>
          <w:p w14:paraId="0695FA15" w14:textId="100013A1" w:rsidR="0074570E" w:rsidRDefault="0074570E">
            <m:oMathPara>
              <m:oMath>
                <m:r>
                  <w:rPr>
                    <w:rFonts w:ascii="Cambria Math" w:hAnsi="Cambria Math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209" w:type="dxa"/>
          </w:tcPr>
          <w:p w14:paraId="42A79A52" w14:textId="00DF498F" w:rsidR="0074570E" w:rsidRDefault="0000000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0)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32D81973" w14:textId="68331BA7" w:rsidR="0074570E" w:rsidRDefault="00995BDB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+h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1,1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=0,91</m:t>
                </m:r>
              </m:oMath>
            </m:oMathPara>
          </w:p>
        </w:tc>
      </w:tr>
    </w:tbl>
    <w:p w14:paraId="7747C841" w14:textId="77777777" w:rsidR="0074570E" w:rsidRDefault="0074570E"/>
    <w:p w14:paraId="4FF8E5EA" w14:textId="44BCA293" w:rsidR="00995BDB" w:rsidRDefault="0000000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f(x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0,91-1</m:t>
              </m:r>
            </m:num>
            <m:den>
              <m:r>
                <w:rPr>
                  <w:rFonts w:ascii="Cambria Math" w:hAnsi="Cambria Math"/>
                </w:rPr>
                <m:t>0,1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-0,09</m:t>
              </m:r>
            </m:num>
            <m:den>
              <m:r>
                <w:rPr>
                  <w:rFonts w:ascii="Cambria Math" w:hAnsi="Cambria Math"/>
                </w:rPr>
                <m:t>0,1</m:t>
              </m:r>
            </m:den>
          </m:f>
          <m:r>
            <w:rPr>
              <w:rFonts w:ascii="Cambria Math" w:hAnsi="Cambria Math"/>
            </w:rPr>
            <m:t>=-0,9</m:t>
          </m:r>
        </m:oMath>
      </m:oMathPara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570E" w14:paraId="1CDD1FA4" w14:textId="77777777" w:rsidTr="00486E51">
        <w:tc>
          <w:tcPr>
            <w:tcW w:w="3209" w:type="dxa"/>
          </w:tcPr>
          <w:p w14:paraId="1D4FC726" w14:textId="77777777" w:rsidR="0074570E" w:rsidRDefault="0074570E" w:rsidP="00486E5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209" w:type="dxa"/>
          </w:tcPr>
          <w:p w14:paraId="1897CCE8" w14:textId="77777777" w:rsidR="0074570E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210" w:type="dxa"/>
          </w:tcPr>
          <w:p w14:paraId="129C9A6E" w14:textId="4589F13D" w:rsidR="0074570E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+h=</m:t>
                </m:r>
                <m:r>
                  <w:rPr>
                    <w:rFonts w:ascii="Cambria Math" w:hAnsi="Cambria Math"/>
                  </w:rPr>
                  <m:t>1,01</m:t>
                </m:r>
              </m:oMath>
            </m:oMathPara>
          </w:p>
        </w:tc>
      </w:tr>
      <w:tr w:rsidR="0074570E" w14:paraId="703C7A47" w14:textId="77777777" w:rsidTr="00486E51">
        <w:tc>
          <w:tcPr>
            <w:tcW w:w="3209" w:type="dxa"/>
          </w:tcPr>
          <w:p w14:paraId="6A139A76" w14:textId="24F84AE0" w:rsidR="0074570E" w:rsidRDefault="0074570E" w:rsidP="00486E51">
            <m:oMathPara>
              <m:oMath>
                <m:r>
                  <w:rPr>
                    <w:rFonts w:ascii="Cambria Math" w:hAnsi="Cambria Math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209" w:type="dxa"/>
          </w:tcPr>
          <w:p w14:paraId="0D199070" w14:textId="62B07C9E" w:rsidR="0074570E" w:rsidRDefault="00000000" w:rsidP="00486E5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f(x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)=1</m:t>
                </m:r>
              </m:oMath>
            </m:oMathPara>
          </w:p>
        </w:tc>
        <w:tc>
          <w:tcPr>
            <w:tcW w:w="3210" w:type="dxa"/>
          </w:tcPr>
          <w:p w14:paraId="28C6DDEC" w14:textId="1B5B1A62" w:rsidR="0074570E" w:rsidRDefault="0074570E" w:rsidP="00486E51">
            <m:oMathPara>
              <m:oMath>
                <m:r>
                  <w:rPr>
                    <w:rFonts w:ascii="Cambria Math" w:hAnsi="Cambria Math"/>
                  </w:rPr>
                  <m:t>f(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+h)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1,01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≈0,99</m:t>
                </m:r>
              </m:oMath>
            </m:oMathPara>
          </w:p>
        </w:tc>
      </w:tr>
    </w:tbl>
    <w:p w14:paraId="3DE88C01" w14:textId="77777777" w:rsidR="0074570E" w:rsidRDefault="0074570E"/>
    <w:p w14:paraId="7E65B061" w14:textId="5EFB0E43" w:rsidR="00174228" w:rsidRPr="00DC5016" w:rsidRDefault="00000000" w:rsidP="0017422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f(x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0,99-1</m:t>
              </m:r>
            </m:num>
            <m:den>
              <m:r>
                <w:rPr>
                  <w:rFonts w:ascii="Cambria Math" w:hAnsi="Cambria Math"/>
                </w:rPr>
                <m:t>0,01</m:t>
              </m:r>
            </m:den>
          </m:f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-0,01</m:t>
              </m:r>
            </m:num>
            <m:den>
              <m:r>
                <w:rPr>
                  <w:rFonts w:ascii="Cambria Math" w:hAnsi="Cambria Math"/>
                </w:rPr>
                <m:t>0,01</m:t>
              </m:r>
            </m:den>
          </m:f>
          <m:r>
            <w:rPr>
              <w:rFonts w:ascii="Cambria Math" w:hAnsi="Cambria Math"/>
            </w:rPr>
            <m:t>≈-1</m:t>
          </m:r>
        </m:oMath>
      </m:oMathPara>
    </w:p>
    <w:p w14:paraId="482475AE" w14:textId="17E92B57" w:rsidR="00DC5016" w:rsidRPr="00DC5016" w:rsidRDefault="00DC5016" w:rsidP="00174228">
      <w:pPr>
        <w:rPr>
          <w:rFonts w:eastAsiaTheme="minorEastAsia"/>
          <w:i/>
          <w:iCs/>
        </w:rPr>
      </w:pPr>
      <w:r w:rsidRPr="00DC5016">
        <w:rPr>
          <w:rFonts w:eastAsiaTheme="minorEastAsia"/>
          <w:i/>
          <w:iCs/>
        </w:rPr>
        <w:t>Læg mærke til at tæller og nævner skrumper i takt, så brøken går mod at fast tal</w:t>
      </w:r>
    </w:p>
    <w:p w14:paraId="3F21E097" w14:textId="2732D588" w:rsidR="001F46B6" w:rsidRDefault="001F46B6" w:rsidP="001F46B6">
      <w:pPr>
        <w:rPr>
          <w:rFonts w:eastAsiaTheme="minorEastAsia"/>
        </w:rPr>
      </w:pPr>
      <w:r>
        <w:rPr>
          <w:rFonts w:eastAsiaTheme="minorEastAsia"/>
        </w:rPr>
        <w:t xml:space="preserve">De samme sekanthældninger fås også ved at indsætte i formlen for sekanthældningen </w:t>
      </w:r>
    </w:p>
    <w:p w14:paraId="25336120" w14:textId="20236CCC" w:rsidR="001F46B6" w:rsidRPr="00DC270E" w:rsidRDefault="00000000" w:rsidP="001F46B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+h</m:t>
              </m:r>
            </m:den>
          </m:f>
        </m:oMath>
      </m:oMathPara>
    </w:p>
    <w:p w14:paraId="1D7C956A" w14:textId="63FF342E" w:rsidR="00DC270E" w:rsidRPr="00821263" w:rsidRDefault="00DC270E" w:rsidP="001F46B6">
      <w:pPr>
        <w:rPr>
          <w:rFonts w:eastAsiaTheme="minorEastAsia"/>
        </w:rPr>
      </w:pPr>
      <w:r>
        <w:rPr>
          <w:rFonts w:eastAsiaTheme="minorEastAsia"/>
        </w:rPr>
        <w:t xml:space="preserve">Indsættes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h=0,1</m:t>
        </m:r>
      </m:oMath>
    </w:p>
    <w:p w14:paraId="3A734149" w14:textId="39A2BD8B" w:rsidR="00DC270E" w:rsidRPr="00F330C6" w:rsidRDefault="00000000" w:rsidP="00D9787F">
      <w:pPr>
        <w:rPr>
          <w:color w:val="00B05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1+0,1</m:t>
                  </m:r>
                </m:e>
              </m:d>
              <m:r>
                <w:rPr>
                  <w:rFonts w:ascii="Cambria Math" w:hAnsi="Cambria Math"/>
                </w:rPr>
                <m:t>∙1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=0,91</m:t>
          </m:r>
        </m:oMath>
      </m:oMathPara>
    </w:p>
    <w:p w14:paraId="54207D06" w14:textId="77777777" w:rsidR="00586043" w:rsidRDefault="00586043" w:rsidP="00D9787F">
      <w:pPr>
        <w:rPr>
          <w:color w:val="00B050"/>
        </w:rPr>
      </w:pPr>
    </w:p>
    <w:p w14:paraId="71E32C5F" w14:textId="39CEF883" w:rsidR="00DC270E" w:rsidRDefault="00F330C6" w:rsidP="00D9787F">
      <w:pPr>
        <w:rPr>
          <w:rFonts w:eastAsiaTheme="minorEastAsia"/>
          <w:i/>
          <w:iCs/>
          <w:color w:val="000000" w:themeColor="text1"/>
        </w:rPr>
      </w:pPr>
      <w:r w:rsidRPr="00DA1D10">
        <w:rPr>
          <w:rFonts w:eastAsiaTheme="minorEastAsia"/>
          <w:i/>
          <w:iCs/>
          <w:color w:val="000000" w:themeColor="text1"/>
        </w:rPr>
        <w:t>Tretrinsreglen er en proces, der undersøger om grafen har en tangent, og hvis den har en tangent, så fås tangentens hældning via det tredje trin.</w:t>
      </w:r>
    </w:p>
    <w:p w14:paraId="74982431" w14:textId="4338E2A5" w:rsidR="00DC270E" w:rsidRPr="00DC270E" w:rsidRDefault="00DC270E" w:rsidP="00DC270E">
      <w:pPr>
        <w:spacing w:after="0"/>
        <w:rPr>
          <w:rFonts w:eastAsiaTheme="minorEastAsia"/>
          <w:b/>
          <w:bCs/>
          <w:color w:val="000000" w:themeColor="text1"/>
        </w:rPr>
      </w:pPr>
      <w:r w:rsidRPr="00F330C6">
        <w:rPr>
          <w:rFonts w:eastAsiaTheme="minorEastAsia"/>
          <w:b/>
          <w:bCs/>
          <w:i/>
          <w:iCs/>
          <w:color w:val="000000" w:themeColor="text1"/>
        </w:rPr>
        <w:t xml:space="preserve">h </w:t>
      </w:r>
      <w:r w:rsidRPr="00DC270E">
        <w:rPr>
          <w:rFonts w:eastAsiaTheme="minorEastAsia"/>
          <w:b/>
          <w:bCs/>
          <w:color w:val="000000" w:themeColor="text1"/>
        </w:rPr>
        <w:t>bliver aldrig lig med nul</w:t>
      </w:r>
    </w:p>
    <w:p w14:paraId="619E26C2" w14:textId="3A11F168" w:rsidR="00C3529F" w:rsidRDefault="00394600" w:rsidP="00DC270E">
      <w:pPr>
        <w:spacing w:after="0"/>
        <w:rPr>
          <w:rFonts w:eastAsiaTheme="minorEastAsia"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 xml:space="preserve"> </w:t>
      </w:r>
      <w:r w:rsidR="006D1104">
        <w:rPr>
          <w:rFonts w:eastAsiaTheme="minorEastAsia"/>
          <w:iCs/>
          <w:color w:val="000000" w:themeColor="text1"/>
        </w:rPr>
        <w:t xml:space="preserve">Læg mærke til at </w:t>
      </w:r>
      <w:r w:rsidR="006D1104" w:rsidRPr="006D1104">
        <w:rPr>
          <w:rFonts w:eastAsiaTheme="minorEastAsia"/>
          <w:i/>
          <w:color w:val="000000" w:themeColor="text1"/>
        </w:rPr>
        <w:t>h</w:t>
      </w:r>
      <w:r w:rsidR="006D1104">
        <w:rPr>
          <w:rFonts w:eastAsiaTheme="minorEastAsia"/>
          <w:iCs/>
          <w:color w:val="000000" w:themeColor="text1"/>
        </w:rPr>
        <w:t xml:space="preserve"> går mod nul uden nogensinde at blive nul. Hvis </w:t>
      </w:r>
      <m:oMath>
        <m:r>
          <w:rPr>
            <w:rFonts w:ascii="Cambria Math" w:eastAsiaTheme="minorEastAsia" w:hAnsi="Cambria Math"/>
            <w:color w:val="000000" w:themeColor="text1"/>
          </w:rPr>
          <m:t>h=0</m:t>
        </m:r>
      </m:oMath>
      <w:r w:rsidR="006D1104">
        <w:rPr>
          <w:rFonts w:eastAsiaTheme="minorEastAsia"/>
          <w:iCs/>
          <w:color w:val="000000" w:themeColor="text1"/>
        </w:rPr>
        <w:t xml:space="preserve"> indsættes i sekanthældningen fås,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  <m:r>
          <w:rPr>
            <w:rFonts w:ascii="Cambria Math" w:hAnsi="Cambria Math"/>
          </w:rPr>
          <m:t>⇔0∙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=0</m:t>
        </m:r>
      </m:oMath>
      <w:r w:rsidR="00314303">
        <w:rPr>
          <w:rFonts w:eastAsiaTheme="minorEastAsia"/>
          <w:iCs/>
          <w:color w:val="000000" w:themeColor="text1"/>
        </w:rPr>
        <w:t xml:space="preserve">, </w:t>
      </w:r>
      <w:r w:rsidR="008471DA">
        <w:rPr>
          <w:rFonts w:eastAsiaTheme="minorEastAsia"/>
          <w:iCs/>
          <w:color w:val="000000" w:themeColor="text1"/>
        </w:rPr>
        <w:t>hvor den sidste ligning har uendelig mange løsninger, og derfor er</w:t>
      </w:r>
      <w:r w:rsidR="00DC5016">
        <w:rPr>
          <w:rFonts w:eastAsiaTheme="minorEastAsia"/>
          <w:iCs/>
          <w:color w:val="000000" w:themeColor="text1"/>
        </w:rPr>
        <w:t xml:space="preserve"> </w:t>
      </w:r>
      <w:r w:rsidR="008471DA">
        <w:rPr>
          <w:rFonts w:eastAsiaTheme="minorEastAsia"/>
          <w:iCs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</m:oMath>
      <w:r w:rsidR="008471DA">
        <w:rPr>
          <w:rFonts w:eastAsiaTheme="minorEastAsia"/>
          <w:iCs/>
          <w:color w:val="000000" w:themeColor="text1"/>
        </w:rPr>
        <w:t xml:space="preserve"> </w:t>
      </w:r>
      <w:r w:rsidR="006D1104">
        <w:rPr>
          <w:rFonts w:eastAsiaTheme="minorEastAsia"/>
          <w:iCs/>
          <w:color w:val="000000" w:themeColor="text1"/>
        </w:rPr>
        <w:t xml:space="preserve"> ikke defineret.</w:t>
      </w:r>
      <w:r w:rsidR="00F1435E">
        <w:rPr>
          <w:rFonts w:eastAsiaTheme="minorEastAsia"/>
          <w:iCs/>
          <w:color w:val="000000" w:themeColor="text1"/>
        </w:rPr>
        <w:t xml:space="preserve"> </w:t>
      </w:r>
    </w:p>
    <w:p w14:paraId="0FF2ACF0" w14:textId="77777777" w:rsidR="00F330C6" w:rsidRDefault="00F330C6" w:rsidP="00DC270E">
      <w:pPr>
        <w:spacing w:after="0"/>
        <w:rPr>
          <w:rFonts w:eastAsiaTheme="minorEastAsia"/>
          <w:iCs/>
          <w:color w:val="000000" w:themeColor="text1"/>
        </w:rPr>
      </w:pPr>
    </w:p>
    <w:p w14:paraId="7F302140" w14:textId="00245FCB" w:rsidR="00DC270E" w:rsidRPr="00DC270E" w:rsidRDefault="00DC270E" w:rsidP="00C3529F">
      <w:pPr>
        <w:spacing w:after="0"/>
        <w:rPr>
          <w:b/>
          <w:bCs/>
        </w:rPr>
      </w:pPr>
      <w:r w:rsidRPr="00DC270E">
        <w:rPr>
          <w:b/>
          <w:bCs/>
        </w:rPr>
        <w:t>Karakterisering af grafen til en differentiabel funktion</w:t>
      </w:r>
    </w:p>
    <w:p w14:paraId="534F4D6C" w14:textId="77777777" w:rsidR="00DC5016" w:rsidRDefault="00DC270E" w:rsidP="00C3529F">
      <w:pPr>
        <w:spacing w:after="0"/>
      </w:pPr>
      <w:r>
        <w:t>E</w:t>
      </w:r>
      <w:r w:rsidR="00821263">
        <w:t xml:space="preserve">n differentiabel funktion er </w:t>
      </w:r>
      <w:r w:rsidR="00821263" w:rsidRPr="00740D82">
        <w:rPr>
          <w:i/>
          <w:iCs/>
        </w:rPr>
        <w:t>lokalt lineær</w:t>
      </w:r>
      <w:r w:rsidR="00821263">
        <w:t>, fordi den har en t</w:t>
      </w:r>
      <w:r w:rsidR="00F41F46">
        <w:t>angent</w:t>
      </w:r>
      <w:r w:rsidR="00821263">
        <w:t xml:space="preserve"> i et hvert punkt</w:t>
      </w:r>
      <w:r>
        <w:t>,</w:t>
      </w:r>
      <w:r w:rsidR="00821263">
        <w:t xml:space="preserve"> og fordi tangenten</w:t>
      </w:r>
      <w:r w:rsidR="00F41F46">
        <w:t xml:space="preserve"> er den rette linje, der bedst tilnærmer grafen i et givent punkt</w:t>
      </w:r>
      <w:r w:rsidR="00821263">
        <w:t>.</w:t>
      </w:r>
      <w:r w:rsidR="00DA1D10">
        <w:t xml:space="preserve"> </w:t>
      </w:r>
    </w:p>
    <w:p w14:paraId="2FD718FE" w14:textId="77777777" w:rsidR="00DC5016" w:rsidRDefault="00C3529F" w:rsidP="00C3529F">
      <w:pPr>
        <w:spacing w:after="0"/>
      </w:pPr>
      <w:r>
        <w:t xml:space="preserve">En kontinuert funktion er </w:t>
      </w:r>
      <w:r w:rsidRPr="00263FB0">
        <w:rPr>
          <w:i/>
          <w:iCs/>
        </w:rPr>
        <w:t>sammenhængende</w:t>
      </w:r>
      <w:r>
        <w:t xml:space="preserve">, dvs. man kan tegne den uden at løfte </w:t>
      </w:r>
      <w:r w:rsidRPr="00DC270E">
        <w:rPr>
          <w:i/>
          <w:iCs/>
        </w:rPr>
        <w:t>pennen fra papiret</w:t>
      </w:r>
      <w:r>
        <w:t xml:space="preserve">. </w:t>
      </w:r>
    </w:p>
    <w:p w14:paraId="68977426" w14:textId="245A1B54" w:rsidR="00995BDB" w:rsidRDefault="00394600" w:rsidP="00C3529F">
      <w:pPr>
        <w:spacing w:after="0"/>
      </w:pPr>
      <w:r>
        <w:t xml:space="preserve">En differentiabel funktion har en graf uden </w:t>
      </w:r>
      <w:r w:rsidRPr="00263FB0">
        <w:rPr>
          <w:i/>
          <w:iCs/>
        </w:rPr>
        <w:t>huller</w:t>
      </w:r>
      <w:r w:rsidR="00C3529F">
        <w:t xml:space="preserve">, </w:t>
      </w:r>
      <w:r w:rsidRPr="00263FB0">
        <w:rPr>
          <w:i/>
          <w:iCs/>
        </w:rPr>
        <w:t>hop</w:t>
      </w:r>
      <w:r>
        <w:t xml:space="preserve"> og </w:t>
      </w:r>
      <w:r w:rsidRPr="00263FB0">
        <w:rPr>
          <w:i/>
          <w:iCs/>
        </w:rPr>
        <w:t>knæk</w:t>
      </w:r>
      <w:r w:rsidR="00F1435E">
        <w:t xml:space="preserve">, og derfor er en </w:t>
      </w:r>
      <w:r w:rsidR="00263FB0">
        <w:t>differentiabel funktion</w:t>
      </w:r>
      <w:r w:rsidR="00F1435E">
        <w:t xml:space="preserve"> også kontinuert</w:t>
      </w:r>
      <w:r w:rsidR="00DC270E">
        <w:t>.</w:t>
      </w:r>
    </w:p>
    <w:p w14:paraId="12B7E325" w14:textId="77777777" w:rsidR="00586043" w:rsidRDefault="00586043" w:rsidP="00C3529F">
      <w:pPr>
        <w:spacing w:after="0"/>
      </w:pPr>
    </w:p>
    <w:p w14:paraId="2BF58EBF" w14:textId="363BD171" w:rsidR="00586043" w:rsidRDefault="00586043" w:rsidP="00C3529F">
      <w:pPr>
        <w:spacing w:after="0"/>
      </w:pPr>
      <w:r>
        <w:t xml:space="preserve">Videoer fra KG </w:t>
      </w:r>
      <w:r w:rsidR="00DC5016">
        <w:t>MAT</w:t>
      </w:r>
      <w:r>
        <w:t>, der gennemgår de tre klassiske beviser med differentialkvotient via tretrinsreglen. Alle videoerne er meget korte og kontante</w:t>
      </w:r>
    </w:p>
    <w:p w14:paraId="5632E458" w14:textId="1F802D1C" w:rsidR="00586043" w:rsidRDefault="00DC5016" w:rsidP="00C3529F">
      <w:pPr>
        <w:spacing w:after="0"/>
      </w:pPr>
      <w:r w:rsidRPr="00DC5016">
        <w:fldChar w:fldCharType="begin"/>
      </w:r>
      <w:r w:rsidRPr="00DC5016">
        <w:instrText xml:space="preserve"> INCLUDEPICTURE "https://yt3.googleusercontent.com/ytc/AIdro_nj4WqvVLKwU8KIq_peCLgGYxOyFVavNifoxr1e_e2jzw=s160-c-k-c0x00ffffff-no-rj" \* MERGEFORMATINET </w:instrText>
      </w:r>
      <w:r w:rsidRPr="00DC5016">
        <w:fldChar w:fldCharType="separate"/>
      </w:r>
      <w:r w:rsidRPr="00DC5016">
        <w:drawing>
          <wp:inline distT="0" distB="0" distL="0" distR="0" wp14:anchorId="63A4D405" wp14:editId="3BB826BF">
            <wp:extent cx="490888" cy="490888"/>
            <wp:effectExtent l="0" t="0" r="4445" b="4445"/>
            <wp:docPr id="1933665573" name="Billede 2" descr="Et billede, der indeholder tekst, clipart, Font/skrifttyp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665573" name="Billede 2" descr="Et billede, der indeholder tekst, clipart, Font/skrifttype, Graf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97" cy="50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016">
        <w:fldChar w:fldCharType="end"/>
      </w:r>
    </w:p>
    <w:p w14:paraId="3DB3AAAF" w14:textId="62924511" w:rsidR="00586043" w:rsidRPr="004359B5" w:rsidRDefault="00586043" w:rsidP="00586043">
      <w:r w:rsidRPr="004359B5">
        <w:t xml:space="preserve">Tretrinsreglen </w:t>
      </w:r>
      <w:r>
        <w:t>4.42 min.</w:t>
      </w:r>
    </w:p>
    <w:p w14:paraId="30A7D9E9" w14:textId="77777777" w:rsidR="00586043" w:rsidRPr="004359B5" w:rsidRDefault="00586043" w:rsidP="00586043">
      <w:hyperlink r:id="rId7" w:history="1">
        <w:r w:rsidRPr="00D918DD">
          <w:rPr>
            <w:rStyle w:val="Hyperlink"/>
          </w:rPr>
          <w:t>https://www.youtube.com/watch?v=3_gzOiWR0Gk</w:t>
        </w:r>
      </w:hyperlink>
    </w:p>
    <w:p w14:paraId="325F8D6C" w14:textId="36856B4E" w:rsidR="00586043" w:rsidRPr="00586043" w:rsidRDefault="00586043" w:rsidP="00586043">
      <w:r w:rsidRPr="00586043">
        <w:t>Kvadratfunktionen</w:t>
      </w:r>
      <w:r>
        <w:t xml:space="preserve"> 2.2 min.</w:t>
      </w:r>
    </w:p>
    <w:p w14:paraId="16C1308B" w14:textId="77777777" w:rsidR="00586043" w:rsidRPr="00586043" w:rsidRDefault="00586043" w:rsidP="00586043">
      <w:hyperlink r:id="rId8" w:history="1">
        <w:r w:rsidRPr="00586043">
          <w:rPr>
            <w:rStyle w:val="Hyperlink"/>
          </w:rPr>
          <w:t>https://www.youtube.com/watch?v=jcsWHD741k8</w:t>
        </w:r>
      </w:hyperlink>
    </w:p>
    <w:p w14:paraId="0C7002D7" w14:textId="5F0EBB17" w:rsidR="00586043" w:rsidRPr="00586043" w:rsidRDefault="00586043" w:rsidP="00586043">
      <w:pPr>
        <w:tabs>
          <w:tab w:val="left" w:pos="2895"/>
        </w:tabs>
      </w:pPr>
      <w:r w:rsidRPr="00586043">
        <w:t>Kvadratrodsfunktionen</w:t>
      </w:r>
      <w:r>
        <w:t xml:space="preserve"> 3.54 min.</w:t>
      </w:r>
      <w:r>
        <w:tab/>
        <w:t xml:space="preserve"> </w:t>
      </w:r>
    </w:p>
    <w:p w14:paraId="4029AA60" w14:textId="77777777" w:rsidR="00586043" w:rsidRPr="00586043" w:rsidRDefault="00586043" w:rsidP="00586043">
      <w:hyperlink r:id="rId9" w:history="1">
        <w:r w:rsidRPr="00586043">
          <w:rPr>
            <w:rStyle w:val="Hyperlink"/>
          </w:rPr>
          <w:t>https://www.youtube.com/watch?v=5lULUzkS4QU</w:t>
        </w:r>
      </w:hyperlink>
    </w:p>
    <w:p w14:paraId="197A0E87" w14:textId="26D40729" w:rsidR="00586043" w:rsidRPr="00586043" w:rsidRDefault="00586043" w:rsidP="00586043">
      <w:r w:rsidRPr="00586043">
        <w:t>Reciprokfunktionen</w:t>
      </w:r>
      <w:r>
        <w:t xml:space="preserve"> 3,0 min.</w:t>
      </w:r>
    </w:p>
    <w:p w14:paraId="244D053F" w14:textId="134F3D27" w:rsidR="00586043" w:rsidRPr="00DC5016" w:rsidRDefault="00586043" w:rsidP="00586043">
      <w:pPr>
        <w:rPr>
          <w:color w:val="467886" w:themeColor="hyperlink"/>
          <w:u w:val="single"/>
        </w:rPr>
      </w:pPr>
      <w:hyperlink r:id="rId10" w:history="1">
        <w:r w:rsidRPr="00586043">
          <w:rPr>
            <w:rStyle w:val="Hyperlink"/>
          </w:rPr>
          <w:t>https://www.youtube.com/watch?app=desktop&amp;v=hpIvg-zd4DA</w:t>
        </w:r>
      </w:hyperlink>
    </w:p>
    <w:p w14:paraId="71797E16" w14:textId="0291A28F" w:rsidR="00C3529F" w:rsidRPr="00DC5016" w:rsidRDefault="00586043" w:rsidP="00C3529F">
      <w:pPr>
        <w:spacing w:after="0"/>
        <w:rPr>
          <w:rFonts w:eastAsiaTheme="minorEastAsia"/>
          <w:iCs/>
          <w:color w:val="000000" w:themeColor="text1"/>
        </w:rPr>
      </w:pPr>
      <w:r>
        <w:rPr>
          <w:rFonts w:eastAsiaTheme="minorEastAsia"/>
          <w:iCs/>
          <w:color w:val="000000" w:themeColor="text1"/>
        </w:rPr>
        <w:lastRenderedPageBreak/>
        <w:t>Definitioner at tangentlinjen</w:t>
      </w:r>
    </w:p>
    <w:p w14:paraId="20AA20C6" w14:textId="2797FB27" w:rsidR="00722EE5" w:rsidRDefault="00722EE5">
      <w:hyperlink r:id="rId11" w:history="1">
        <w:r w:rsidRPr="002F40A1">
          <w:rPr>
            <w:rStyle w:val="Hyperlink"/>
          </w:rPr>
          <w:t>https://www2.lawrence.edu/fast/GREGGJ/Math140/031/031Tangents.html</w:t>
        </w:r>
      </w:hyperlink>
    </w:p>
    <w:p w14:paraId="40FCA3AD" w14:textId="30CA4C07" w:rsidR="00722EE5" w:rsidRDefault="00722EE5">
      <w:hyperlink r:id="rId12" w:history="1">
        <w:r w:rsidRPr="002F40A1">
          <w:rPr>
            <w:rStyle w:val="Hyperlink"/>
          </w:rPr>
          <w:t>https://www.mathsisfun.com/geometry/tangent-secant-lines.html</w:t>
        </w:r>
      </w:hyperlink>
    </w:p>
    <w:p w14:paraId="3C2227ED" w14:textId="77777777" w:rsidR="00722EE5" w:rsidRPr="00722EE5" w:rsidRDefault="00722EE5"/>
    <w:sectPr w:rsidR="00722EE5" w:rsidRPr="00722EE5"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833C" w14:textId="77777777" w:rsidR="00572E4B" w:rsidRDefault="00572E4B" w:rsidP="00740D82">
      <w:pPr>
        <w:spacing w:after="0" w:line="240" w:lineRule="auto"/>
      </w:pPr>
      <w:r>
        <w:separator/>
      </w:r>
    </w:p>
  </w:endnote>
  <w:endnote w:type="continuationSeparator" w:id="0">
    <w:p w14:paraId="4A5D3E16" w14:textId="77777777" w:rsidR="00572E4B" w:rsidRDefault="00572E4B" w:rsidP="0074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513894166"/>
      <w:docPartObj>
        <w:docPartGallery w:val="Page Numbers (Bottom of Page)"/>
        <w:docPartUnique/>
      </w:docPartObj>
    </w:sdtPr>
    <w:sdtContent>
      <w:p w14:paraId="40390BED" w14:textId="65F551D4" w:rsidR="00740D82" w:rsidRDefault="00740D82" w:rsidP="002F40A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2DDC0C4" w14:textId="77777777" w:rsidR="00740D82" w:rsidRDefault="00740D82" w:rsidP="00740D8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2091654956"/>
      <w:docPartObj>
        <w:docPartGallery w:val="Page Numbers (Bottom of Page)"/>
        <w:docPartUnique/>
      </w:docPartObj>
    </w:sdtPr>
    <w:sdtContent>
      <w:p w14:paraId="5A79F915" w14:textId="256112D3" w:rsidR="00740D82" w:rsidRDefault="00740D82" w:rsidP="002F40A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346B426" w14:textId="77777777" w:rsidR="00740D82" w:rsidRDefault="00740D82" w:rsidP="00740D8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B6F4E" w14:textId="77777777" w:rsidR="00572E4B" w:rsidRDefault="00572E4B" w:rsidP="00740D82">
      <w:pPr>
        <w:spacing w:after="0" w:line="240" w:lineRule="auto"/>
      </w:pPr>
      <w:r>
        <w:separator/>
      </w:r>
    </w:p>
  </w:footnote>
  <w:footnote w:type="continuationSeparator" w:id="0">
    <w:p w14:paraId="334424A9" w14:textId="77777777" w:rsidR="00572E4B" w:rsidRDefault="00572E4B" w:rsidP="00740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E"/>
    <w:rsid w:val="00024A52"/>
    <w:rsid w:val="00050E66"/>
    <w:rsid w:val="0012441F"/>
    <w:rsid w:val="00137C37"/>
    <w:rsid w:val="00151542"/>
    <w:rsid w:val="00174228"/>
    <w:rsid w:val="00193F23"/>
    <w:rsid w:val="001C060E"/>
    <w:rsid w:val="001F46B6"/>
    <w:rsid w:val="00211AEC"/>
    <w:rsid w:val="00263FB0"/>
    <w:rsid w:val="00314303"/>
    <w:rsid w:val="00352D54"/>
    <w:rsid w:val="00394600"/>
    <w:rsid w:val="00572E4B"/>
    <w:rsid w:val="00586043"/>
    <w:rsid w:val="006D1104"/>
    <w:rsid w:val="00722EE5"/>
    <w:rsid w:val="00740D82"/>
    <w:rsid w:val="0074570E"/>
    <w:rsid w:val="00821263"/>
    <w:rsid w:val="008471DA"/>
    <w:rsid w:val="0086718C"/>
    <w:rsid w:val="00995BDB"/>
    <w:rsid w:val="00AD510F"/>
    <w:rsid w:val="00B250AB"/>
    <w:rsid w:val="00BE445C"/>
    <w:rsid w:val="00C3529F"/>
    <w:rsid w:val="00CC7E89"/>
    <w:rsid w:val="00D9787F"/>
    <w:rsid w:val="00DA1D10"/>
    <w:rsid w:val="00DC270E"/>
    <w:rsid w:val="00DC5016"/>
    <w:rsid w:val="00EF0A86"/>
    <w:rsid w:val="00F1435E"/>
    <w:rsid w:val="00F330C6"/>
    <w:rsid w:val="00F41F46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4F117"/>
  <w15:chartTrackingRefBased/>
  <w15:docId w15:val="{05A41F5E-4216-5740-8087-7A71A7D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5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5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5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5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5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5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5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5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5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45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5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57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57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57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57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57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57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5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5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5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57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570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570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5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570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570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4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4570E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722EE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2EE5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740D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0D82"/>
  </w:style>
  <w:style w:type="character" w:styleId="Sidetal">
    <w:name w:val="page number"/>
    <w:basedOn w:val="Standardskrifttypeiafsnit"/>
    <w:uiPriority w:val="99"/>
    <w:semiHidden/>
    <w:unhideWhenUsed/>
    <w:rsid w:val="00740D82"/>
  </w:style>
  <w:style w:type="character" w:styleId="BesgtLink">
    <w:name w:val="FollowedHyperlink"/>
    <w:basedOn w:val="Standardskrifttypeiafsnit"/>
    <w:uiPriority w:val="99"/>
    <w:semiHidden/>
    <w:unhideWhenUsed/>
    <w:rsid w:val="005860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63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258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csWHD741k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_gzOiWR0Gk" TargetMode="External"/><Relationship Id="rId12" Type="http://schemas.openxmlformats.org/officeDocument/2006/relationships/hyperlink" Target="https://www.mathsisfun.com/geometry/tangent-secant-line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2.lawrence.edu/fast/GREGGJ/Math140/031/031Tangents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app=desktop&amp;v=hpIvg-zd4D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5lULUzkS4Q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2024-11-11T20:06:00Z</dcterms:created>
  <dcterms:modified xsi:type="dcterms:W3CDTF">2024-11-11T20:06:00Z</dcterms:modified>
</cp:coreProperties>
</file>