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583C" w14:textId="2B0BED7D" w:rsidR="008E2D4A" w:rsidRDefault="008E2D4A" w:rsidP="00AF7413">
      <w:pPr>
        <w:pStyle w:val="Overskrift2"/>
      </w:pPr>
      <w:r>
        <w:t>Andengradspolynomiets konstanter</w:t>
      </w:r>
    </w:p>
    <w:p w14:paraId="31DC8723" w14:textId="77777777" w:rsidR="00706D90" w:rsidRPr="00984513" w:rsidRDefault="00706D90" w:rsidP="00706D90">
      <w:pPr>
        <w:rPr>
          <w:b/>
        </w:rPr>
      </w:pPr>
      <w:r>
        <w:rPr>
          <w:b/>
        </w:rPr>
        <w:t>K</w:t>
      </w:r>
      <w:r w:rsidRPr="00984513">
        <w:rPr>
          <w:b/>
        </w:rPr>
        <w:t xml:space="preserve">oefficienternes geometriske </w:t>
      </w:r>
      <w:r>
        <w:rPr>
          <w:b/>
        </w:rPr>
        <w:t>betydning</w:t>
      </w:r>
    </w:p>
    <w:p w14:paraId="74390AE6" w14:textId="77777777" w:rsidR="00706D90" w:rsidRDefault="00706D90" w:rsidP="00706D90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c</w:t>
      </w:r>
      <w:r>
        <w:t xml:space="preserve"> er skæring med </w:t>
      </w:r>
      <w:r w:rsidRPr="00862C1F">
        <w:rPr>
          <w:i/>
        </w:rPr>
        <w:t>y</w:t>
      </w:r>
      <w:r>
        <w:t>-aksen.</w:t>
      </w:r>
    </w:p>
    <w:p w14:paraId="4B641ACE" w14:textId="77777777" w:rsidR="00706D90" w:rsidRDefault="00706D90" w:rsidP="00706D90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b</w:t>
      </w:r>
      <w:r>
        <w:t xml:space="preserve"> er tangenthældningen, der hvor parablen skærer </w:t>
      </w:r>
      <w:r w:rsidRPr="00862C1F">
        <w:rPr>
          <w:i/>
        </w:rPr>
        <w:t>y</w:t>
      </w:r>
      <w:r>
        <w:t>-aksen.</w:t>
      </w:r>
    </w:p>
    <w:p w14:paraId="5A653769" w14:textId="478D7EF1" w:rsidR="00706D90" w:rsidRPr="00984513" w:rsidRDefault="00706D90" w:rsidP="00706D90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a</w:t>
      </w:r>
      <w:r>
        <w:t xml:space="preserve"> </w:t>
      </w:r>
      <w:r w:rsidR="001803B8">
        <w:t xml:space="preserve">fortæller om </w:t>
      </w:r>
      <w:r>
        <w:t>parablen</w:t>
      </w:r>
      <w:r w:rsidR="006D61EA">
        <w:t xml:space="preserve"> er konveks (glad) eller </w:t>
      </w:r>
      <w:r w:rsidR="001803B8">
        <w:t xml:space="preserve">konkav </w:t>
      </w:r>
      <w:r w:rsidR="006D61EA">
        <w:t>(sur)</w:t>
      </w:r>
      <w:r>
        <w:t xml:space="preserve">. Start i toppunktet, gå stykket 1 vandret ud og gå stykket </w:t>
      </w:r>
      <w:r w:rsidRPr="003E539A">
        <w:rPr>
          <w:i/>
        </w:rPr>
        <w:t>a</w:t>
      </w:r>
      <w:r>
        <w:t xml:space="preserve"> lodret op, hvis </w:t>
      </w:r>
      <w:r w:rsidRPr="003E539A">
        <w:rPr>
          <w:i/>
        </w:rPr>
        <w:t>a</w:t>
      </w:r>
      <w:r>
        <w:t xml:space="preserve"> er positiv.</w:t>
      </w:r>
    </w:p>
    <w:p w14:paraId="729A191E" w14:textId="2687A2E6" w:rsidR="00706D90" w:rsidRPr="00706D90" w:rsidRDefault="00706D90">
      <w:pPr>
        <w:rPr>
          <w:b/>
          <w:bCs/>
        </w:rPr>
      </w:pPr>
      <w:r w:rsidRPr="00706D90">
        <w:rPr>
          <w:b/>
          <w:bCs/>
        </w:rPr>
        <w:t>Begrundelse for betydningen</w:t>
      </w:r>
    </w:p>
    <w:p w14:paraId="59B3682F" w14:textId="780BAA88" w:rsidR="00AF7413" w:rsidRDefault="00AF7413">
      <w:pPr>
        <w:rPr>
          <w:rStyle w:val="Hyperlink"/>
        </w:rPr>
      </w:pPr>
      <w:r>
        <w:t xml:space="preserve">Skæring med </w:t>
      </w:r>
      <w:r w:rsidRPr="00AF7413">
        <w:rPr>
          <w:i/>
          <w:iCs/>
        </w:rPr>
        <w:t>y</w:t>
      </w:r>
      <w:r>
        <w:t>-aksen</w:t>
      </w:r>
    </w:p>
    <w:p w14:paraId="4BAEC7F3" w14:textId="3FBECBA4" w:rsidR="000A2C4E" w:rsidRPr="00AF7413" w:rsidRDefault="006D61E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</m:t>
          </m:r>
          <m:r>
            <w:rPr>
              <w:rFonts w:ascii="Cambria Math" w:eastAsiaTheme="minorEastAsia" w:hAnsi="Cambria Math"/>
            </w:rPr>
            <m:t>⇒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+b∙0+c=c</m:t>
          </m:r>
        </m:oMath>
      </m:oMathPara>
    </w:p>
    <w:p w14:paraId="05C44ED1" w14:textId="48F56AEA" w:rsidR="00AF7413" w:rsidRPr="000A2C4E" w:rsidRDefault="00AF7413">
      <w:pPr>
        <w:rPr>
          <w:rFonts w:eastAsiaTheme="minorEastAsia"/>
        </w:rPr>
      </w:pPr>
      <w:r>
        <w:rPr>
          <w:rFonts w:eastAsiaTheme="minorEastAsia"/>
        </w:rPr>
        <w:t xml:space="preserve">Tangenthældning, der hvor parablen skærer </w:t>
      </w:r>
      <w:r w:rsidRPr="00AF7413">
        <w:rPr>
          <w:rFonts w:eastAsiaTheme="minorEastAsia"/>
          <w:i/>
          <w:iCs/>
        </w:rPr>
        <w:t>y</w:t>
      </w:r>
      <w:r>
        <w:rPr>
          <w:rFonts w:eastAsiaTheme="minorEastAsia"/>
        </w:rPr>
        <w:t>-aksen</w:t>
      </w:r>
    </w:p>
    <w:p w14:paraId="7946EBBA" w14:textId="51B09FCF" w:rsidR="000A2C4E" w:rsidRPr="00AF7413" w:rsidRDefault="006D61EA" w:rsidP="000A2C4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=2ax+b</m:t>
          </m:r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(0)=2a∙0+b=b</m:t>
          </m:r>
        </m:oMath>
      </m:oMathPara>
    </w:p>
    <w:p w14:paraId="18D87E69" w14:textId="48CA3DC1" w:rsidR="00AF7413" w:rsidRPr="00AF7413" w:rsidRDefault="00AF7413" w:rsidP="000A2C4E">
      <w:r>
        <w:rPr>
          <w:rFonts w:eastAsiaTheme="minorEastAsia"/>
        </w:rPr>
        <w:t xml:space="preserve">Symmetriaksen er den </w:t>
      </w:r>
      <w:r w:rsidRPr="00AF7413">
        <w:rPr>
          <w:rFonts w:eastAsiaTheme="minorEastAsia"/>
          <w:i/>
          <w:iCs/>
        </w:rPr>
        <w:t>x</w:t>
      </w:r>
      <w:r>
        <w:rPr>
          <w:rFonts w:eastAsiaTheme="minorEastAsia"/>
        </w:rPr>
        <w:t>-værdi, hvor tangenthældningen er nul</w:t>
      </w:r>
    </w:p>
    <w:p w14:paraId="50182B48" w14:textId="28645D15" w:rsidR="000A2C4E" w:rsidRPr="00B47C8E" w:rsidRDefault="006D61EA" w:rsidP="000A2C4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=0⇔2ax+b=0⇔x=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93AA309" w14:textId="77777777" w:rsidR="00B47C8E" w:rsidRDefault="00B47C8E" w:rsidP="00B47C8E">
      <w:pPr>
        <w:rPr>
          <w:b/>
          <w:sz w:val="28"/>
          <w:szCs w:val="28"/>
        </w:rPr>
      </w:pPr>
    </w:p>
    <w:p w14:paraId="398D7D84" w14:textId="1698A71A" w:rsidR="00B47C8E" w:rsidRDefault="00B47C8E" w:rsidP="00B47C8E">
      <w:pPr>
        <w:rPr>
          <w:noProof/>
          <w:lang w:eastAsia="da-DK"/>
        </w:rPr>
      </w:pP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0415045A" wp14:editId="2011E09B">
            <wp:extent cx="1723558" cy="2007973"/>
            <wp:effectExtent l="0" t="0" r="3810" b="0"/>
            <wp:docPr id="8" name="Billede 8" descr="Macintosh HD:Users:st:Desktop:Skærmbillede 2015-10-31 kl. 15.01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:Desktop:Skærmbillede 2015-10-31 kl. 15.01.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29" cy="20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2D" w:rsidRPr="00A5062D">
        <w:rPr>
          <w:noProof/>
          <w:lang w:eastAsia="da-DK"/>
        </w:rPr>
        <w:t xml:space="preserve"> </w:t>
      </w:r>
      <w:r w:rsidR="00A5062D">
        <w:rPr>
          <w:noProof/>
          <w:lang w:eastAsia="da-DK"/>
        </w:rPr>
        <w:drawing>
          <wp:inline distT="0" distB="0" distL="0" distR="0" wp14:anchorId="0F9846C3" wp14:editId="419FD23F">
            <wp:extent cx="1791599" cy="2193324"/>
            <wp:effectExtent l="0" t="0" r="0" b="3810"/>
            <wp:docPr id="7" name="Billede 7" descr="Macintosh HD:Users:st:Desktop:Skærmbillede 2015-10-31 kl. 14.4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:Desktop:Skærmbillede 2015-10-31 kl. 14.43.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51" cy="22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9BE0" w14:textId="77777777" w:rsidR="001803B8" w:rsidRPr="001803B8" w:rsidRDefault="001803B8" w:rsidP="00B47C8E">
      <w:pPr>
        <w:rPr>
          <w:b/>
          <w:bCs/>
          <w:noProof/>
          <w:lang w:eastAsia="da-DK"/>
        </w:rPr>
      </w:pPr>
      <w:r w:rsidRPr="001803B8">
        <w:rPr>
          <w:b/>
          <w:bCs/>
          <w:noProof/>
          <w:lang w:eastAsia="da-DK"/>
        </w:rPr>
        <w:t>Fortolkning af a som et mål for krumning.</w:t>
      </w:r>
    </w:p>
    <w:p w14:paraId="283C8EAF" w14:textId="31684BB8" w:rsidR="001803B8" w:rsidRDefault="001803B8" w:rsidP="00B47C8E">
      <w:pPr>
        <w:rPr>
          <w:noProof/>
          <w:lang w:eastAsia="da-DK"/>
        </w:rPr>
      </w:pPr>
      <w:r w:rsidRPr="001803B8">
        <w:rPr>
          <w:noProof/>
          <w:lang w:eastAsia="da-DK"/>
        </w:rPr>
        <w:t>Parablen på toppunkt-form</w:t>
      </w:r>
      <w:r>
        <w:rPr>
          <w:noProof/>
          <w:lang w:eastAsia="da-DK"/>
        </w:rPr>
        <w:t xml:space="preserve"> </w:t>
      </w:r>
    </w:p>
    <w:p w14:paraId="2BAEAF3A" w14:textId="7D7BAC19" w:rsidR="001803B8" w:rsidRPr="001803B8" w:rsidRDefault="006D61EA" w:rsidP="00B47C8E">
      <w:pPr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  <w:lang w:eastAsia="da-DK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lang w:eastAsia="da-DK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da-DK"/>
                </w:rPr>
                <m:t>x</m:t>
              </m:r>
            </m:e>
          </m:d>
          <m:r>
            <w:rPr>
              <w:rFonts w:ascii="Cambria Math" w:hAnsi="Cambria Math"/>
              <w:noProof/>
              <w:lang w:eastAsia="da-DK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da-D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da-DK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da-DK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noProof/>
                  <w:lang w:eastAsia="da-DK"/>
                </w:rPr>
                <m:t>2</m:t>
              </m:r>
            </m:sup>
          </m:sSup>
          <m:r>
            <w:rPr>
              <w:rFonts w:ascii="Cambria Math" w:hAnsi="Cambria Math"/>
              <w:noProof/>
              <w:lang w:eastAsia="da-DK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5DC335D1" w14:textId="7E6EF3CA" w:rsidR="001803B8" w:rsidRPr="00690642" w:rsidRDefault="006D61EA" w:rsidP="001803B8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+a</m:t>
          </m:r>
        </m:oMath>
      </m:oMathPara>
    </w:p>
    <w:p w14:paraId="75931DF1" w14:textId="3ED0A24D" w:rsidR="00690642" w:rsidRPr="00690642" w:rsidRDefault="00690642" w:rsidP="00690642">
      <w:pPr>
        <w:rPr>
          <w:i/>
          <w:iCs/>
        </w:rPr>
      </w:pPr>
      <w:r w:rsidRPr="00690642">
        <w:rPr>
          <w:i/>
          <w:iCs/>
        </w:rPr>
        <w:t>Næste side kan måske medtages i samtale-delen</w:t>
      </w:r>
    </w:p>
    <w:p w14:paraId="2353B7E9" w14:textId="77777777" w:rsidR="001803B8" w:rsidRPr="00690642" w:rsidRDefault="001803B8" w:rsidP="00B47C8E">
      <w:pPr>
        <w:rPr>
          <w:rFonts w:eastAsiaTheme="minorEastAsia"/>
          <w:i/>
          <w:iCs/>
          <w:noProof/>
        </w:rPr>
      </w:pPr>
    </w:p>
    <w:p w14:paraId="6DC1A548" w14:textId="77777777" w:rsidR="001803B8" w:rsidRPr="001803B8" w:rsidRDefault="001803B8" w:rsidP="00B47C8E">
      <w:pPr>
        <w:rPr>
          <w:noProof/>
          <w:lang w:eastAsia="da-DK"/>
        </w:rPr>
      </w:pPr>
    </w:p>
    <w:p w14:paraId="640A0D79" w14:textId="11EB102C" w:rsidR="00706D90" w:rsidRPr="00706D90" w:rsidRDefault="00706D90" w:rsidP="00706D90">
      <w:pPr>
        <w:rPr>
          <w:b/>
          <w:bCs/>
        </w:rPr>
      </w:pPr>
      <w:r>
        <w:rPr>
          <w:b/>
          <w:bCs/>
        </w:rPr>
        <w:t>Begrundelse for parablens koefficienter kan stables</w:t>
      </w:r>
    </w:p>
    <w:p w14:paraId="2EE250F5" w14:textId="77777777" w:rsidR="001276FF" w:rsidRPr="0085471E" w:rsidRDefault="00000000" w:rsidP="001276F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(x)=2a⇔a=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(x)</m:t>
          </m:r>
        </m:oMath>
      </m:oMathPara>
    </w:p>
    <w:p w14:paraId="3B489A8D" w14:textId="77777777" w:rsidR="001276FF" w:rsidRPr="00DE3366" w:rsidRDefault="001276FF" w:rsidP="001276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+∆x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+∆x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+b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+∆x</m:t>
              </m:r>
            </m:e>
          </m:d>
          <m:r>
            <w:rPr>
              <w:rFonts w:ascii="Cambria Math" w:hAnsi="Cambria Math"/>
            </w:rPr>
            <m:t>+c</m:t>
          </m:r>
        </m:oMath>
      </m:oMathPara>
    </w:p>
    <w:p w14:paraId="6B5DDB00" w14:textId="77777777" w:rsidR="001276FF" w:rsidRPr="00DE0804" w:rsidRDefault="001276FF" w:rsidP="001276F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a(</m:t>
          </m:r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2x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∆x+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)+ b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+b∆x+c</m:t>
          </m:r>
        </m:oMath>
      </m:oMathPara>
    </w:p>
    <w:p w14:paraId="0AA78FA8" w14:textId="77777777" w:rsidR="001276FF" w:rsidRPr="00D71D79" w:rsidRDefault="00000000" w:rsidP="001276FF">
      <w:pPr>
        <w:rPr>
          <w:rFonts w:eastAsiaTheme="minorEastAsia"/>
          <w:color w:val="0070C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70C0"/>
                </w:rPr>
              </m:ctrlPr>
            </m:sSubSupPr>
            <m:e>
              <m:r>
                <w:rPr>
                  <w:rFonts w:ascii="Cambria Math" w:hAnsi="Cambria Math"/>
                  <w:color w:val="0070C0"/>
                </w:rPr>
                <m:t>=ax</m:t>
              </m:r>
            </m:e>
            <m:sub>
              <m:r>
                <w:rPr>
                  <w:rFonts w:ascii="Cambria Math" w:hAnsi="Cambria Math"/>
                  <w:color w:val="0070C0"/>
                </w:rPr>
                <m:t>0</m:t>
              </m:r>
            </m:sub>
            <m:sup>
              <m:r>
                <w:rPr>
                  <w:rFonts w:ascii="Cambria Math" w:hAnsi="Cambria Math"/>
                  <w:color w:val="0070C0"/>
                </w:rPr>
                <m:t>2</m:t>
              </m:r>
            </m:sup>
          </m:sSubSup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2ax</m:t>
              </m:r>
            </m:e>
            <m:sub>
              <m:r>
                <w:rPr>
                  <w:rFonts w:ascii="Cambria Math" w:hAnsi="Cambria Math"/>
                  <w:color w:val="00B050"/>
                </w:rPr>
                <m:t>0</m:t>
              </m:r>
            </m:sub>
          </m:sSub>
          <m:r>
            <w:rPr>
              <w:rFonts w:ascii="Cambria Math" w:hAnsi="Cambria Math"/>
              <w:color w:val="00B050"/>
            </w:rPr>
            <m:t>∆x</m:t>
          </m:r>
          <m:r>
            <w:rPr>
              <w:rFonts w:ascii="Cambria Math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70C0"/>
            </w:rPr>
            <m:t>b</m:t>
          </m:r>
          <m:sSub>
            <m:sSubPr>
              <m:ctrlPr>
                <w:rPr>
                  <w:rFonts w:ascii="Cambria Math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/>
                  <w:color w:val="0070C0"/>
                </w:rPr>
                <m:t>x</m:t>
              </m:r>
            </m:e>
            <m:sub>
              <m:r>
                <w:rPr>
                  <w:rFonts w:ascii="Cambria Math" w:hAnsi="Cambria Math"/>
                  <w:color w:val="0070C0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B050"/>
            </w:rPr>
            <m:t>b∆x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00B0F0"/>
            </w:rPr>
            <m:t>c</m:t>
          </m:r>
        </m:oMath>
      </m:oMathPara>
    </w:p>
    <w:p w14:paraId="593ECEDC" w14:textId="77777777" w:rsidR="001276FF" w:rsidRPr="0012183D" w:rsidRDefault="001276FF" w:rsidP="001276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a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70C0"/>
                </w:rPr>
                <m:t>+b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70C0"/>
                </w:rPr>
                <m:t>+c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00B050"/>
                </w:rPr>
                <m:t>2a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B050"/>
                </w:rPr>
                <m:t>+b</m:t>
              </m:r>
            </m:e>
          </m:d>
          <m:r>
            <w:rPr>
              <w:rFonts w:ascii="Cambria Math" w:hAnsi="Cambria Math"/>
              <w:color w:val="00B050"/>
            </w:rPr>
            <m:t>∆x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FF0000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14:paraId="5992BBEA" w14:textId="77777777" w:rsidR="001276FF" w:rsidRPr="0012183D" w:rsidRDefault="001276FF" w:rsidP="001276F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+∆x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70C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B050"/>
            </w:rPr>
            <m:t>f'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B050"/>
            </w:rPr>
            <m:t>∆x</m:t>
          </m:r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p>
          <m:r>
            <w:rPr>
              <w:rFonts w:ascii="Cambria Math" w:hAnsi="Cambria Math"/>
              <w:color w:val="FF000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)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14:paraId="6D3FF2B8" w14:textId="77777777" w:rsidR="001276FF" w:rsidRDefault="001276FF" w:rsidP="001276FF">
      <w:pPr>
        <w:rPr>
          <w:rFonts w:eastAsiaTheme="minorEastAsia"/>
        </w:rPr>
      </w:pPr>
      <w:r>
        <w:rPr>
          <w:rFonts w:eastAsiaTheme="minorEastAsia"/>
        </w:rPr>
        <w:t xml:space="preserve">Hvis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og ∆x=1</m:t>
        </m:r>
      </m:oMath>
      <w:r>
        <w:rPr>
          <w:rFonts w:eastAsiaTheme="minorEastAsia"/>
        </w:rPr>
        <w:t xml:space="preserve"> fås 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eastAsiaTheme="minorEastAsia"/>
        </w:rPr>
        <w:t xml:space="preserve"> er lig med summen af andengradspolynomiets konstanter</w:t>
      </w:r>
    </w:p>
    <w:p w14:paraId="494F8091" w14:textId="77777777" w:rsidR="001276FF" w:rsidRPr="00DE3366" w:rsidRDefault="001276FF" w:rsidP="001276F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=a+b+c</m:t>
          </m:r>
        </m:oMath>
      </m:oMathPara>
    </w:p>
    <w:p w14:paraId="02BBA12B" w14:textId="695C9995" w:rsidR="006D61EA" w:rsidRDefault="001276FF" w:rsidP="00BD15A0">
      <w:pPr>
        <w:rPr>
          <w:rFonts w:eastAsiaTheme="minorEastAsia"/>
        </w:rPr>
      </w:pPr>
      <w:r>
        <w:rPr>
          <w:rFonts w:eastAsiaTheme="minorEastAsia"/>
          <w:color w:val="000000" w:themeColor="text1"/>
        </w:rPr>
        <w:t xml:space="preserve">Hvis </w:t>
      </w:r>
      <w:r w:rsidRPr="00D71D79">
        <w:rPr>
          <w:rFonts w:eastAsiaTheme="minorEastAsia"/>
          <w:i/>
          <w:iCs/>
          <w:color w:val="000000" w:themeColor="text1"/>
        </w:rPr>
        <w:t>a</w:t>
      </w:r>
      <w:r>
        <w:rPr>
          <w:rFonts w:eastAsiaTheme="minorEastAsia"/>
          <w:color w:val="000000" w:themeColor="text1"/>
        </w:rPr>
        <w:t xml:space="preserve">, </w:t>
      </w:r>
      <w:r w:rsidRPr="00D71D79">
        <w:rPr>
          <w:rFonts w:eastAsiaTheme="minorEastAsia"/>
          <w:i/>
          <w:iCs/>
          <w:color w:val="000000" w:themeColor="text1"/>
        </w:rPr>
        <w:t>b</w:t>
      </w:r>
      <w:r>
        <w:rPr>
          <w:rFonts w:eastAsiaTheme="minorEastAsia"/>
          <w:color w:val="000000" w:themeColor="text1"/>
        </w:rPr>
        <w:t xml:space="preserve"> og </w:t>
      </w:r>
      <w:r w:rsidRPr="00D71D79">
        <w:rPr>
          <w:rFonts w:eastAsiaTheme="minorEastAsia"/>
          <w:i/>
          <w:iCs/>
          <w:color w:val="000000" w:themeColor="text1"/>
        </w:rPr>
        <w:t>c</w:t>
      </w:r>
      <w:r>
        <w:rPr>
          <w:rFonts w:eastAsiaTheme="minorEastAsia"/>
          <w:color w:val="000000" w:themeColor="text1"/>
        </w:rPr>
        <w:t xml:space="preserve"> alle er positive, så angiver </w:t>
      </w:r>
      <m:oMath>
        <m:r>
          <w:rPr>
            <w:rFonts w:ascii="Cambria Math" w:hAnsi="Cambria Math"/>
          </w:rPr>
          <m:t>b+c</m:t>
        </m:r>
      </m:oMath>
      <w:r>
        <w:rPr>
          <w:rFonts w:eastAsiaTheme="minorEastAsia"/>
        </w:rPr>
        <w:t xml:space="preserve"> lig afstanden fra </w:t>
      </w:r>
      <w:r w:rsidRPr="00D71D79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-aksen op til tangenten og </w:t>
      </w:r>
      <m:oMath>
        <m:r>
          <w:rPr>
            <w:rFonts w:ascii="Cambria Math" w:eastAsiaTheme="minorEastAsia" w:hAnsi="Cambria Math"/>
            <w:color w:val="000000" w:themeColor="text1"/>
          </w:rPr>
          <m:t>a+</m:t>
        </m:r>
        <m:r>
          <w:rPr>
            <w:rFonts w:ascii="Cambria Math" w:hAnsi="Cambria Math"/>
          </w:rPr>
          <m:t>b+c</m:t>
        </m:r>
      </m:oMath>
      <w:r>
        <w:rPr>
          <w:rFonts w:eastAsiaTheme="minorEastAsia"/>
        </w:rPr>
        <w:t xml:space="preserve"> angiver afstanden fra </w:t>
      </w:r>
      <w:r w:rsidRPr="00D71D79">
        <w:rPr>
          <w:rFonts w:eastAsiaTheme="minorEastAsia"/>
          <w:i/>
          <w:iCs/>
        </w:rPr>
        <w:t>x</w:t>
      </w:r>
      <w:r>
        <w:rPr>
          <w:rFonts w:eastAsiaTheme="minorEastAsia"/>
        </w:rPr>
        <w:t>-aksen op til funktionens graf.</w:t>
      </w:r>
    </w:p>
    <w:p w14:paraId="7175260B" w14:textId="41B73E4D" w:rsidR="006D61EA" w:rsidRDefault="006D61EA" w:rsidP="00BD15A0">
      <w:pPr>
        <w:rPr>
          <w:rFonts w:eastAsiaTheme="minorEastAsia"/>
        </w:rPr>
      </w:pPr>
      <w:r>
        <w:rPr>
          <w:rFonts w:eastAsiaTheme="minorEastAsia"/>
        </w:rPr>
        <w:t>Nedenfor er vist tangenttilnærmelsen til funktionen</w:t>
      </w:r>
    </w:p>
    <w:p w14:paraId="670972DC" w14:textId="1327650F" w:rsidR="006D61EA" w:rsidRDefault="006D61EA" w:rsidP="00BD15A0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+∆x</m:t>
              </m:r>
            </m:e>
          </m:d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hAnsi="Cambria Math"/>
              <w:color w:val="0070C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B050"/>
            </w:rPr>
            <m:t>f'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B050"/>
            </w:rPr>
            <m:t>∆x</m:t>
          </m:r>
          <m:r>
            <w:rPr>
              <w:rFonts w:ascii="Cambria Math" w:hAnsi="Cambria Math"/>
              <w:color w:val="00B050"/>
            </w:rPr>
            <m:t>=</m:t>
          </m:r>
          <m:r>
            <w:rPr>
              <w:rFonts w:ascii="Cambria Math" w:hAnsi="Cambria Math"/>
              <w:color w:val="0070C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00B050"/>
            </w:rPr>
            <m:t>f'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00B050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B050"/>
                    </w:rPr>
                    <m:t>0</m:t>
                  </m:r>
                </m:sub>
              </m:sSub>
            </m:e>
          </m:d>
        </m:oMath>
      </m:oMathPara>
    </w:p>
    <w:p w14:paraId="3894150B" w14:textId="3FEF4CF2" w:rsidR="006D61EA" w:rsidRDefault="006D61EA" w:rsidP="00BD15A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og heraf ses, at </w:t>
      </w:r>
    </w:p>
    <w:p w14:paraId="0CF9ED1A" w14:textId="6B09B836" w:rsidR="006D61EA" w:rsidRPr="006D61EA" w:rsidRDefault="006D61EA" w:rsidP="00BD15A0">
      <w:pPr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f</m:t>
              </m:r>
            </m:e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p>
          <m:r>
            <w:rPr>
              <w:rFonts w:ascii="Cambria Math" w:hAnsi="Cambria Math"/>
              <w:color w:val="FF000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</w:rPr>
            <m:t>)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∆x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14:paraId="555FB48A" w14:textId="039F6898" w:rsidR="006D61EA" w:rsidRPr="00690642" w:rsidRDefault="006D61EA" w:rsidP="00BD15A0">
      <w:pPr>
        <w:rPr>
          <w:rFonts w:eastAsiaTheme="minorEastAsia"/>
          <w:color w:val="000000" w:themeColor="text1"/>
        </w:rPr>
      </w:pPr>
      <w:r w:rsidRPr="00690642">
        <w:rPr>
          <w:rFonts w:eastAsiaTheme="minorEastAsia"/>
          <w:color w:val="000000" w:themeColor="text1"/>
        </w:rPr>
        <w:t>Er afvigelsen mellem tangenten og funk</w:t>
      </w:r>
      <w:r w:rsidR="00690642">
        <w:rPr>
          <w:rFonts w:eastAsiaTheme="minorEastAsia"/>
          <w:color w:val="000000" w:themeColor="text1"/>
        </w:rPr>
        <w:t>t</w:t>
      </w:r>
      <w:r w:rsidRPr="00690642">
        <w:rPr>
          <w:rFonts w:eastAsiaTheme="minorEastAsia"/>
          <w:color w:val="000000" w:themeColor="text1"/>
        </w:rPr>
        <w:t xml:space="preserve">ionen, når </w:t>
      </w:r>
      <w:r w:rsidRPr="00690642">
        <w:rPr>
          <w:rFonts w:eastAsiaTheme="minorEastAsia"/>
          <w:i/>
          <w:iCs/>
          <w:color w:val="000000" w:themeColor="text1"/>
        </w:rPr>
        <w:t>x</w:t>
      </w:r>
      <w:r w:rsidRPr="00690642">
        <w:rPr>
          <w:rFonts w:eastAsiaTheme="minorEastAsia"/>
          <w:color w:val="000000" w:themeColor="text1"/>
        </w:rPr>
        <w:t>-værdien for</w:t>
      </w:r>
      <w:r w:rsidR="00690642" w:rsidRPr="00690642">
        <w:rPr>
          <w:rFonts w:eastAsiaTheme="minorEastAsia"/>
          <w:color w:val="000000" w:themeColor="text1"/>
        </w:rPr>
        <w:t xml:space="preserve">øges med </w:t>
      </w:r>
      <m:oMath>
        <m:r>
          <w:rPr>
            <w:rFonts w:ascii="Cambria Math" w:hAnsi="Cambria Math"/>
            <w:color w:val="000000" w:themeColor="text1"/>
          </w:rPr>
          <m:t>∆x</m:t>
        </m:r>
      </m:oMath>
      <w:r w:rsidR="00690642">
        <w:rPr>
          <w:rFonts w:eastAsiaTheme="minorEastAsia"/>
          <w:color w:val="000000" w:themeColor="text1"/>
        </w:rPr>
        <w:t xml:space="preserve"> ud fra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</w:p>
    <w:p w14:paraId="198496CE" w14:textId="34D25276" w:rsidR="00BD15A0" w:rsidRPr="00BD15A0" w:rsidRDefault="00BD15A0" w:rsidP="00BD15A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Kilde</w:t>
      </w:r>
    </w:p>
    <w:p w14:paraId="77B18DB5" w14:textId="77777777" w:rsidR="00BD15A0" w:rsidRDefault="00BD15A0" w:rsidP="00BD15A0">
      <w:r>
        <w:t>Jens Carstensen, Andengradspolynomiets koefficienter, LMFK bladet nr. 1, januar 2011.</w:t>
      </w:r>
    </w:p>
    <w:p w14:paraId="402D0651" w14:textId="77777777" w:rsidR="00A5062D" w:rsidRDefault="00A5062D" w:rsidP="00A5062D">
      <w:pPr>
        <w:pStyle w:val="Overskrift2"/>
      </w:pPr>
    </w:p>
    <w:p w14:paraId="74EC02A7" w14:textId="77777777" w:rsidR="00A5062D" w:rsidRPr="000A2C4E" w:rsidRDefault="00A5062D" w:rsidP="000A2C4E">
      <w:pPr>
        <w:rPr>
          <w:rFonts w:eastAsiaTheme="minorEastAsia"/>
        </w:rPr>
      </w:pPr>
    </w:p>
    <w:p w14:paraId="3D918BA0" w14:textId="77777777" w:rsidR="000A2C4E" w:rsidRDefault="000A2C4E" w:rsidP="000A2C4E"/>
    <w:p w14:paraId="5AD35A95" w14:textId="77777777" w:rsidR="000A2C4E" w:rsidRDefault="000A2C4E"/>
    <w:sectPr w:rsidR="000A2C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FFA"/>
    <w:multiLevelType w:val="hybridMultilevel"/>
    <w:tmpl w:val="99D8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CE7"/>
    <w:multiLevelType w:val="hybridMultilevel"/>
    <w:tmpl w:val="F170024C"/>
    <w:lvl w:ilvl="0" w:tplc="6002BF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6E54"/>
    <w:multiLevelType w:val="hybridMultilevel"/>
    <w:tmpl w:val="78A033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1969">
    <w:abstractNumId w:val="0"/>
  </w:num>
  <w:num w:numId="2" w16cid:durableId="1792630755">
    <w:abstractNumId w:val="1"/>
  </w:num>
  <w:num w:numId="3" w16cid:durableId="176406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A"/>
    <w:rsid w:val="000A2C4E"/>
    <w:rsid w:val="001276FF"/>
    <w:rsid w:val="001803B8"/>
    <w:rsid w:val="002828DE"/>
    <w:rsid w:val="002F2B1B"/>
    <w:rsid w:val="00690642"/>
    <w:rsid w:val="006D61EA"/>
    <w:rsid w:val="00706D90"/>
    <w:rsid w:val="008E2D4A"/>
    <w:rsid w:val="009F0A19"/>
    <w:rsid w:val="00A5062D"/>
    <w:rsid w:val="00AD5DA3"/>
    <w:rsid w:val="00AF7413"/>
    <w:rsid w:val="00B47C8E"/>
    <w:rsid w:val="00BD15A0"/>
    <w:rsid w:val="00B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E92F5"/>
  <w15:chartTrackingRefBased/>
  <w15:docId w15:val="{3EF60AE1-0BC8-AA4E-AA9B-0022948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2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2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2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2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2D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D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D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D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D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D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2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2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2D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2D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2D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2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2D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2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E2D4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2D4A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0A2C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249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7</cp:revision>
  <dcterms:created xsi:type="dcterms:W3CDTF">2024-10-07T08:29:00Z</dcterms:created>
  <dcterms:modified xsi:type="dcterms:W3CDTF">2025-02-10T15:01:00Z</dcterms:modified>
</cp:coreProperties>
</file>